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DEVELOPER SERVICES AGREEMENT</w:t>
      </w:r>
    </w:p>
    <w:p>
      <w:pPr>
        <w:pStyle w:val="Normal"/>
        <w:rPr/>
      </w:pPr>
      <w:r>
        <w:rPr/>
      </w:r>
    </w:p>
    <w:p>
      <w:pPr>
        <w:pStyle w:val="Normal"/>
        <w:rPr/>
      </w:pPr>
      <w:r>
        <w:rPr/>
        <w:tab/>
        <w:t>THIS DEVELOPER SERVICES AGREEMENT (“</w:t>
      </w:r>
      <w:r>
        <w:rPr>
          <w:b/>
          <w:bCs/>
        </w:rPr>
        <w:t>Agreement</w:t>
      </w:r>
      <w:r>
        <w:rPr/>
        <w:t xml:space="preserve">”) is entered into by and between </w:t>
      </w:r>
      <w:r>
        <w:rPr/>
        <w:t xml:space="preserve">&lt;&lt;**enter name of for-profit partner**&gt;&gt; </w:t>
      </w:r>
      <w:r>
        <w:rPr/>
        <w:t>, a Florida limited liability company (“</w:t>
      </w:r>
      <w:r>
        <w:rPr>
          <w:b/>
          <w:bCs/>
        </w:rPr>
        <w:t>&lt;&lt;**FOR-PROFIT**&gt;&gt;”</w:t>
      </w:r>
      <w:r>
        <w:rPr/>
        <w:t>) and</w:t>
      </w:r>
      <w:r>
        <w:rPr/>
        <w:t xml:space="preserve"> &lt;&lt;**enter name of non-profit consultant**&gt;&gt;</w:t>
      </w:r>
      <w:r>
        <w:rPr/>
        <w:t>, a Florida limited liability company (“</w:t>
      </w:r>
      <w:r>
        <w:rPr>
          <w:b/>
          <w:bCs/>
        </w:rPr>
        <w:t>&lt;&lt;**NON-PROFIT**&gt;&gt;</w:t>
      </w:r>
      <w:r>
        <w:rPr/>
        <w:t xml:space="preserve">”).  </w:t>
      </w:r>
    </w:p>
    <w:p>
      <w:pPr>
        <w:pStyle w:val="Normal"/>
        <w:rPr/>
      </w:pPr>
      <w:r>
        <w:rPr/>
      </w:r>
    </w:p>
    <w:p>
      <w:pPr>
        <w:pStyle w:val="Normal"/>
        <w:rPr/>
      </w:pPr>
      <w:r>
        <w:rPr/>
      </w:r>
    </w:p>
    <w:p>
      <w:pPr>
        <w:pStyle w:val="Normal"/>
        <w:jc w:val="center"/>
        <w:rPr/>
      </w:pPr>
      <w:r>
        <w:rPr>
          <w:b/>
          <w:bCs/>
        </w:rPr>
        <w:t>WITNESSETH</w:t>
      </w:r>
      <w:r>
        <w:rPr/>
        <w:t>:</w:t>
      </w:r>
    </w:p>
    <w:p>
      <w:pPr>
        <w:pStyle w:val="Normal"/>
        <w:rPr/>
      </w:pPr>
      <w:r>
        <w:rPr/>
      </w:r>
    </w:p>
    <w:p>
      <w:pPr>
        <w:pStyle w:val="Normal"/>
        <w:widowControl w:val="false"/>
        <w:rPr/>
      </w:pPr>
      <w:r>
        <w:rPr/>
        <w:t xml:space="preserve">WHEREAS, &lt;&lt;**FOR-PROFIT**&gt;&gt; has agreed to provide certain services to </w:t>
      </w:r>
      <w:r>
        <w:rPr/>
        <w:t>&lt;&lt;**enter name of title holding entity**&gt;&gt;</w:t>
      </w:r>
      <w:r>
        <w:rPr/>
        <w:t>, a Florida limited liability company (“</w:t>
      </w:r>
      <w:r>
        <w:rPr>
          <w:b/>
          <w:bCs/>
        </w:rPr>
        <w:t>Owner</w:t>
      </w:r>
      <w:r>
        <w:rPr/>
        <w:t>”), the prospective owner of an interest in real property located in Pompano Beach Florida (“</w:t>
      </w:r>
      <w:r>
        <w:rPr>
          <w:b/>
          <w:bCs/>
        </w:rPr>
        <w:t>Property</w:t>
      </w:r>
      <w:r>
        <w:rPr/>
        <w:t>”), all in connection with the development of a ____ unit residential apartment project (the “</w:t>
      </w:r>
      <w:r>
        <w:rPr>
          <w:b/>
          <w:bCs/>
        </w:rPr>
        <w:t>Project</w:t>
      </w:r>
      <w:r>
        <w:rPr/>
        <w:t>”).</w:t>
      </w:r>
      <w:r>
        <w:rPr/>
        <w:t xml:space="preserve">  The agreement between &lt;&lt;**FOR-PROFIT**&gt;&gt; and Owner is hereinafter referred to as the </w:t>
      </w:r>
      <w:r>
        <w:rPr/>
        <w:t>“</w:t>
      </w:r>
      <w:r>
        <w:rPr>
          <w:b/>
          <w:bCs/>
        </w:rPr>
        <w:t>Development Agreement</w:t>
      </w:r>
      <w:r>
        <w:rPr/>
        <w:t>”.</w:t>
      </w:r>
    </w:p>
    <w:p>
      <w:pPr>
        <w:pStyle w:val="Normal"/>
        <w:rPr/>
      </w:pPr>
      <w:r>
        <w:rPr/>
      </w:r>
    </w:p>
    <w:p>
      <w:pPr>
        <w:pStyle w:val="Normal"/>
        <w:rPr/>
      </w:pPr>
      <w:r>
        <w:rPr/>
        <w:t>WHEREAS, &lt;&lt;**NON-PROFIT**&gt;&gt; has agreed to provide consulting services (“</w:t>
      </w:r>
      <w:r>
        <w:rPr>
          <w:b/>
          <w:bCs/>
        </w:rPr>
        <w:t>Consulting Services</w:t>
      </w:r>
      <w:r>
        <w:rPr/>
        <w:t xml:space="preserve">”) to assist &lt;&lt;**FOR-PROFIT**&gt;&gt; </w:t>
      </w:r>
      <w:r>
        <w:rPr/>
        <w:t>in carrying out the duties of the Development Agreement</w:t>
      </w:r>
      <w:r>
        <w:rPr/>
        <w:t xml:space="preserve">.  </w:t>
      </w:r>
    </w:p>
    <w:p>
      <w:pPr>
        <w:pStyle w:val="Normal"/>
        <w:rPr/>
      </w:pPr>
      <w:r>
        <w:rPr/>
      </w:r>
    </w:p>
    <w:p>
      <w:pPr>
        <w:pStyle w:val="Normal"/>
        <w:rPr/>
      </w:pPr>
      <w:r>
        <w:rPr/>
        <w:t>WHEREAS, &lt;&lt;**NON-PROFIT**&gt;&gt; and &lt;&lt;**FOR-PROFIT**&gt;&gt; desire to set forth their agreement relating to the Consulting Services as more particularly set forth in this Agreement.</w:t>
      </w:r>
    </w:p>
    <w:p>
      <w:pPr>
        <w:pStyle w:val="Normal"/>
        <w:rPr/>
      </w:pPr>
      <w:r>
        <w:rPr/>
      </w:r>
    </w:p>
    <w:p>
      <w:pPr>
        <w:pStyle w:val="Normal"/>
        <w:rPr/>
      </w:pPr>
      <w:r>
        <w:rPr/>
        <w:t>NOW, THEREFORE, in consideration of the mutual covenants and agreements set forth in this Agreement, the parties hereto, each intending to be legally bound hereby, agree as follows:</w:t>
      </w:r>
    </w:p>
    <w:p>
      <w:pPr>
        <w:pStyle w:val="Normal"/>
        <w:rPr/>
      </w:pPr>
      <w:r>
        <w:rPr/>
      </w:r>
    </w:p>
    <w:p>
      <w:pPr>
        <w:pStyle w:val="TextBody"/>
        <w:numPr>
          <w:ilvl w:val="0"/>
          <w:numId w:val="1"/>
        </w:numPr>
        <w:rPr>
          <w:b/>
          <w:b/>
          <w:bCs/>
        </w:rPr>
      </w:pPr>
      <w:r>
        <w:rPr>
          <w:b/>
          <w:bCs/>
        </w:rPr>
        <w:t>SECTION 1 - Definitions</w:t>
      </w:r>
    </w:p>
    <w:p>
      <w:pPr>
        <w:pStyle w:val="TextBody"/>
        <w:numPr>
          <w:ilvl w:val="1"/>
          <w:numId w:val="1"/>
        </w:numPr>
        <w:rPr/>
      </w:pPr>
      <w:r>
        <w:rPr/>
        <w:t>Definitions.  In addition to the capitalized terms defined elsewhere in this Agreement, the following terms shall have the meanings specified below:</w:t>
      </w:r>
    </w:p>
    <w:p>
      <w:pPr>
        <w:pStyle w:val="TextBody"/>
        <w:numPr>
          <w:ilvl w:val="2"/>
          <w:numId w:val="1"/>
        </w:numPr>
        <w:rPr/>
      </w:pPr>
      <w:r>
        <w:rPr/>
        <w:t>“</w:t>
      </w:r>
      <w:r>
        <w:rPr>
          <w:b/>
          <w:bCs/>
        </w:rPr>
        <w:t>Act of Bankruptcy</w:t>
      </w:r>
      <w:r>
        <w:rPr/>
        <w:t>”, as to a specified Person means:</w:t>
      </w:r>
    </w:p>
    <w:p>
      <w:pPr>
        <w:pStyle w:val="TextBody"/>
        <w:numPr>
          <w:ilvl w:val="3"/>
          <w:numId w:val="1"/>
        </w:numPr>
        <w:rPr/>
      </w:pPr>
      <w:r>
        <w:rPr/>
        <w:t>such Person’s filing a petition in bankruptcy or for reorganization under the bankruptcy laws or an admission, answer or other responsive pleading consenting to or requesting the relief afforded by the bankruptcy laws and such case has not been dismissed within ninety (90) days of its commencement; or</w:t>
      </w:r>
    </w:p>
    <w:p>
      <w:pPr>
        <w:pStyle w:val="TextBody"/>
        <w:numPr>
          <w:ilvl w:val="3"/>
          <w:numId w:val="1"/>
        </w:numPr>
        <w:rPr/>
      </w:pPr>
      <w:r>
        <w:rPr/>
        <w:t>the filing against such Person of a petition in bankruptcy or for reorganization under the bankruptcy laws unless such Person is diligently and in good faith prosecuting a request for the dismissal of such filing and such case has not been dismissed within ninety (90) days of its commencement.</w:t>
      </w:r>
    </w:p>
    <w:p>
      <w:pPr>
        <w:pStyle w:val="TextBody"/>
        <w:numPr>
          <w:ilvl w:val="2"/>
          <w:numId w:val="1"/>
        </w:numPr>
        <w:rPr/>
      </w:pPr>
      <w:r>
        <w:rPr/>
        <w:t>“</w:t>
      </w:r>
      <w:r>
        <w:rPr>
          <w:b/>
          <w:bCs/>
        </w:rPr>
        <w:t>Affiliates</w:t>
      </w:r>
      <w:r>
        <w:rPr/>
        <w:t>” means, as to any Person, (i) any other Person that directly or indirectly through one or more intermediaries, controls, is controlled by, or is under common control with, such Person or (ii) any trade or business (whether or not incorporated) which is a member of a group of which such Person is a member and which is under common control.</w:t>
      </w:r>
    </w:p>
    <w:p>
      <w:pPr>
        <w:pStyle w:val="TextBody"/>
        <w:numPr>
          <w:ilvl w:val="2"/>
          <w:numId w:val="1"/>
        </w:numPr>
        <w:rPr/>
      </w:pPr>
      <w:r>
        <w:rPr/>
        <w:t>“</w:t>
      </w:r>
      <w:r>
        <w:rPr>
          <w:b/>
          <w:bCs/>
        </w:rPr>
        <w:t>Development Fee</w:t>
      </w:r>
      <w:r>
        <w:rPr/>
        <w:t>” means the development fee to be paid to &lt;&lt;**FOR-PROFIT**&gt;&gt; (or an Affiliate thereof, if applicable) by the Owner relating to the Project pursuant to the Development Agreement and subject to the Tax Credit requirements.</w:t>
      </w:r>
    </w:p>
    <w:p>
      <w:pPr>
        <w:pStyle w:val="TextBody"/>
        <w:numPr>
          <w:ilvl w:val="2"/>
          <w:numId w:val="1"/>
        </w:numPr>
        <w:rPr/>
      </w:pPr>
      <w:r>
        <w:rPr/>
        <w:t>“</w:t>
      </w:r>
      <w:r>
        <w:rPr>
          <w:b/>
          <w:bCs/>
        </w:rPr>
        <w:t>FHFC</w:t>
      </w:r>
      <w:r>
        <w:rPr/>
        <w:t>” means the Florida Housing Finance Corporation.</w:t>
      </w:r>
    </w:p>
    <w:p>
      <w:pPr>
        <w:pStyle w:val="TextBody"/>
        <w:numPr>
          <w:ilvl w:val="2"/>
          <w:numId w:val="1"/>
        </w:numPr>
        <w:rPr/>
      </w:pPr>
      <w:r>
        <w:rPr/>
        <w:t>“</w:t>
      </w:r>
      <w:r>
        <w:rPr>
          <w:b/>
          <w:bCs/>
        </w:rPr>
        <w:t>Tax Credit(s)</w:t>
      </w:r>
      <w:r>
        <w:rPr/>
        <w:t>” means low income housing tax credits under Section 42 of the Internal Revenue Code of 1986, as amended, as administered by FHFC.</w:t>
      </w:r>
    </w:p>
    <w:p>
      <w:pPr>
        <w:pStyle w:val="TextBody"/>
        <w:numPr>
          <w:ilvl w:val="2"/>
          <w:numId w:val="1"/>
        </w:numPr>
        <w:rPr/>
      </w:pPr>
      <w:r>
        <w:rPr/>
        <w:t>“</w:t>
      </w:r>
      <w:r>
        <w:rPr>
          <w:b/>
          <w:bCs/>
        </w:rPr>
        <w:t>Person</w:t>
      </w:r>
      <w:r>
        <w:rPr/>
        <w:t>” means an individual, a corporation, a trust or any other entity or organization, including a governmental or political subdivision or an agency or instrumentality thereof.</w:t>
      </w:r>
    </w:p>
    <w:p>
      <w:pPr>
        <w:pStyle w:val="TextBody"/>
        <w:numPr>
          <w:ilvl w:val="0"/>
          <w:numId w:val="1"/>
        </w:numPr>
        <w:rPr>
          <w:b/>
          <w:b/>
          <w:bCs/>
        </w:rPr>
      </w:pPr>
      <w:r>
        <w:rPr>
          <w:b/>
          <w:bCs/>
        </w:rPr>
        <w:t>SECTION 2 - Consulting Services</w:t>
      </w:r>
    </w:p>
    <w:p>
      <w:pPr>
        <w:pStyle w:val="TextBody"/>
        <w:numPr>
          <w:ilvl w:val="1"/>
          <w:numId w:val="1"/>
        </w:numPr>
        <w:rPr/>
      </w:pPr>
      <w:r>
        <w:rPr/>
        <w:t xml:space="preserve">&lt;&lt;**FOR-PROFIT**&gt;&gt; desires to retain &lt;&lt;**NON-PROFIT**&gt;&gt; to perform the Consulting Services.  &lt;&lt;**NON-PROFIT**&gt;&gt; desires to provide the Consulting Services to &lt;&lt;**FOR-PROFIT**&gt;&gt; subject to the terms and conditions set forth herein and hereby accepts its appointment as a consultant.  &lt;&lt;**FOR-PROFIT**&gt;&gt; and &lt;&lt;**NON-PROFIT**&gt;&gt; agree that the Consulting Services may include other matters relating to the development of the Project as agreed to in writing between &lt;&lt;**FOR-PROFIT**&gt;&gt; and &lt;&lt;**NON-PROFIT**&gt;&gt;. </w:t>
      </w:r>
    </w:p>
    <w:p>
      <w:pPr>
        <w:pStyle w:val="TextBody"/>
        <w:numPr>
          <w:ilvl w:val="1"/>
          <w:numId w:val="1"/>
        </w:numPr>
        <w:rPr/>
      </w:pPr>
      <w:r>
        <w:rPr/>
        <w:t>&lt;&lt;**NON-PROFIT**&gt;&gt; shall have no authority to enter into any contracts or agreements on behalf of &lt;&lt;**FOR-PROFIT**&gt;&gt; or the Owner.  &lt;&lt;**NON-PROFIT**&gt;&gt; shall not represent that it has authority to bind &lt;&lt;**FOR-PROFIT**&gt;&gt; or the Owner to any contract, unless otherwise agreed by the parties in writing.</w:t>
      </w:r>
    </w:p>
    <w:p>
      <w:pPr>
        <w:pStyle w:val="TextBody"/>
        <w:numPr>
          <w:ilvl w:val="1"/>
          <w:numId w:val="1"/>
        </w:numPr>
        <w:rPr/>
      </w:pPr>
      <w:r>
        <w:rPr/>
        <w:t>&lt;&lt;**NON-PROFIT**&gt;&gt; will be an independent contractor, and nothing contained in this Agreement will be deemed or construed (a) to create a partnership or joint venture between &lt;&lt;**FOR-PROFIT**&gt;&gt; and &lt;&lt;**NON-PROFIT**&gt;&gt;, (b) to cause &lt;&lt;**NON-PROFIT**&gt;&gt; to be responsible in any way for the debts, liabilities or obligations of &lt;&lt;**FOR-PROFIT**&gt;&gt;, any of its subsidiaries or any other party or (c) to constitute &lt;&lt;**NON-PROFIT**&gt;&gt; or any of its employees as employees, officers, or agents to be employees of &lt;&lt;**FOR-PROFIT**&gt;&gt; or any of its subsidiaries.</w:t>
      </w:r>
    </w:p>
    <w:p>
      <w:pPr>
        <w:pStyle w:val="TextBody"/>
        <w:numPr>
          <w:ilvl w:val="0"/>
          <w:numId w:val="1"/>
        </w:numPr>
        <w:rPr>
          <w:b/>
          <w:b/>
          <w:bCs/>
        </w:rPr>
      </w:pPr>
      <w:r>
        <w:rPr>
          <w:b/>
          <w:bCs/>
        </w:rPr>
        <w:t>SECTION 3 - Performance of Services</w:t>
      </w:r>
    </w:p>
    <w:p>
      <w:pPr>
        <w:pStyle w:val="TextBody"/>
        <w:numPr>
          <w:ilvl w:val="1"/>
          <w:numId w:val="1"/>
        </w:numPr>
        <w:rPr/>
      </w:pPr>
      <w:r>
        <w:rPr/>
        <w:t xml:space="preserve">&lt;&lt;**NON-PROFIT**&gt;&gt; shall use commercially reasonable efforts to promptly and diligently perform the Consulting Services to ensure that a breach or default under this Agreement does not occur.  &lt;&lt;**FOR-PROFIT**&gt;&gt; agrees that &lt;&lt;**NON-PROFIT**&gt;&gt; may perform its obligations in this Agreement through one or more of its Affiliates.  &lt;&lt;**FOR-PROFIT**&gt;&gt; acknowledges and agrees that &lt;&lt;**NON-PROFIT**&gt;&gt; will not devote &lt;&lt;**NON-PROFIT**&gt;&gt;’s (or any employee, officer, director, affiliate or associate of &lt;&lt;**NON-PROFIT**&gt;&gt;) full time and business efforts to the duties of &lt;&lt;**NON-PROFIT**&gt;&gt; specified in this Agreement.  &lt;&lt;**FOR-PROFIT**&gt;&gt; further acknowledges and agrees that &lt;&lt;**NON-PROFIT**&gt;&gt; and its Affiliates are or may be engaged in the other business activities for &lt;&lt;**NON-PROFIT**&gt;&gt;’s own account, for the account of &lt;&lt;**NON-PROFIT**&gt;&gt;’s Affiliates and associates and for the account of other unaffiliated parties and that no aspect or element of these activities will be deemed to be engaged in for the benefit of &lt;&lt;**FOR-PROFIT**&gt;&gt; or its members nor to constitute a conflict of interest.  &lt;&lt;**NON-PROFIT**&gt;&gt; will not be required to bring any such business opportunities to the attention of &lt;&lt;**FOR-PROFIT**&gt;&gt;.  </w:t>
      </w:r>
    </w:p>
    <w:p>
      <w:pPr>
        <w:pStyle w:val="TextBody"/>
        <w:numPr>
          <w:ilvl w:val="0"/>
          <w:numId w:val="1"/>
        </w:numPr>
        <w:rPr>
          <w:b/>
          <w:b/>
          <w:bCs/>
        </w:rPr>
      </w:pPr>
      <w:r>
        <w:rPr>
          <w:b/>
          <w:bCs/>
        </w:rPr>
        <w:t>SECTION 4 - Payment for Services</w:t>
      </w:r>
    </w:p>
    <w:p>
      <w:pPr>
        <w:pStyle w:val="TextBody"/>
        <w:numPr>
          <w:ilvl w:val="1"/>
          <w:numId w:val="1"/>
        </w:numPr>
        <w:rPr/>
      </w:pPr>
      <w:r>
        <w:rPr/>
        <w:t>Subject to the Tax Credit requirements, the Development Fee shall be paid to &lt;&lt;**FOR-PROFIT**&gt;&gt; as set forth in the Development Agreement.  To the extent possible, the Development Fee shall be paid from the equity raised from the investment of proceeds by an investor in the Owner LLC and various forms of financing obtained by the Owner (“Development Sources”).  If the Development Fee is not fully paid from Development Sources at the completion of Project construction, the remaining outstanding Development Fee and any related interest thereon shall be paid from cash flow generated by the Project.</w:t>
      </w:r>
    </w:p>
    <w:p>
      <w:pPr>
        <w:pStyle w:val="TextBody"/>
        <w:numPr>
          <w:ilvl w:val="0"/>
          <w:numId w:val="1"/>
        </w:numPr>
        <w:rPr>
          <w:b/>
          <w:b/>
          <w:bCs/>
        </w:rPr>
      </w:pPr>
      <w:r>
        <w:rPr>
          <w:b/>
          <w:bCs/>
        </w:rPr>
        <w:t>SECTION 5 - Payment for Consulting Services</w:t>
      </w:r>
    </w:p>
    <w:p>
      <w:pPr>
        <w:pStyle w:val="TextBody"/>
        <w:numPr>
          <w:ilvl w:val="1"/>
          <w:numId w:val="1"/>
        </w:numPr>
        <w:rPr/>
      </w:pPr>
      <w:r>
        <w:rPr/>
        <w:t xml:space="preserve">In consideration of &lt;&lt;**NON-PROFIT**&gt;&gt; providing the Consulting Services to &lt;&lt;**FOR-PROFIT**&gt;&gt;, &lt;&lt;**FOR-PROFIT**&gt;&gt; agrees to pay, subject to the Tax Credit requirements, &lt;&lt;**NON-PROFIT**&gt;&gt; </w:t>
      </w:r>
      <w:r>
        <w:rPr>
          <w:highlight w:val="yellow"/>
        </w:rPr>
        <w:t>five percent (5%</w:t>
      </w:r>
      <w:r>
        <w:rPr/>
        <w:t>) of the Development Fee within ten (10) business days after receipt thereof from the Owner.  If the Developer Fee is paid to &lt;&lt;**FOR-PROFIT**&gt;&gt; in installments 5% of each such installment shall be paid to &lt;&lt;**NON-PROFIT**&gt;&gt; so long as such installments are consistent with Tax Credit Requirements.  The total of such installment payments to &lt;&lt;**NON-PROFIT**&gt;&gt; shall not exceed 5% of the total Development Fee.</w:t>
      </w:r>
    </w:p>
    <w:p>
      <w:pPr>
        <w:pStyle w:val="TextBody"/>
        <w:numPr>
          <w:ilvl w:val="0"/>
          <w:numId w:val="1"/>
        </w:numPr>
        <w:rPr>
          <w:b/>
          <w:b/>
          <w:bCs/>
        </w:rPr>
      </w:pPr>
      <w:r>
        <w:rPr>
          <w:b/>
          <w:bCs/>
        </w:rPr>
        <w:t>SECTION 6 -Default and Remedies</w:t>
      </w:r>
    </w:p>
    <w:p>
      <w:pPr>
        <w:pStyle w:val="TextBody"/>
        <w:numPr>
          <w:ilvl w:val="1"/>
          <w:numId w:val="1"/>
        </w:numPr>
        <w:rPr/>
      </w:pPr>
      <w:r>
        <w:rPr/>
        <w:t>Events of Default.  An “Event of Default” shall occur if:</w:t>
      </w:r>
    </w:p>
    <w:p>
      <w:pPr>
        <w:pStyle w:val="TextBody"/>
        <w:numPr>
          <w:ilvl w:val="2"/>
          <w:numId w:val="1"/>
        </w:numPr>
        <w:rPr/>
      </w:pPr>
      <w:r>
        <w:rPr/>
        <w:t>There shall have occurred a material breach by &lt;&lt;**FOR-PROFIT**&gt;&gt; or &lt;&lt;**NON-PROFIT**&gt;&gt; (or their Affiliates) in any respect under any provision of this Agreement;</w:t>
      </w:r>
    </w:p>
    <w:p>
      <w:pPr>
        <w:pStyle w:val="TextBody"/>
        <w:numPr>
          <w:ilvl w:val="2"/>
          <w:numId w:val="1"/>
        </w:numPr>
        <w:rPr/>
      </w:pPr>
      <w:r>
        <w:rPr/>
        <w:t>An Act of Bankruptcy relating to &lt;&lt;**FOR-PROFIT**&gt;&gt; or &lt;&lt;**NON-PROFIT**&gt;&gt; shall have occurred; or</w:t>
      </w:r>
    </w:p>
    <w:p>
      <w:pPr>
        <w:pStyle w:val="TextBody"/>
        <w:numPr>
          <w:ilvl w:val="2"/>
          <w:numId w:val="1"/>
        </w:numPr>
        <w:rPr/>
      </w:pPr>
      <w:r>
        <w:rPr/>
        <w:t>An assignment in contravention of Section 7.6 of this Agreement shall have occurred.</w:t>
      </w:r>
    </w:p>
    <w:p>
      <w:pPr>
        <w:pStyle w:val="TextBody"/>
        <w:numPr>
          <w:ilvl w:val="1"/>
          <w:numId w:val="1"/>
        </w:numPr>
        <w:rPr/>
      </w:pPr>
      <w:r>
        <w:rPr/>
        <w:t>Remedies.</w:t>
      </w:r>
    </w:p>
    <w:p>
      <w:pPr>
        <w:pStyle w:val="TextBody"/>
        <w:numPr>
          <w:ilvl w:val="2"/>
          <w:numId w:val="1"/>
        </w:numPr>
        <w:rPr/>
      </w:pPr>
      <w:r>
        <w:rPr/>
        <w:t>Notice.  If there is an Event of Default under Section 6.1(a), (b) or (c), the non-breaching party shall not exercise its remedies hereunder unless the breaching party has failed to cure the Event of Default after written notice and the expiration of thirty (30) days after receipt of such notice.  If there is an Event of Default under Section 6.1(a), the non-breaching party shall have the right to immediately begin to effectuate a cure of the breaching party’s default.  Notwithstanding the foregoing, no cure period will apply to a payment default hereunder.</w:t>
      </w:r>
    </w:p>
    <w:p>
      <w:pPr>
        <w:pStyle w:val="TextBody"/>
        <w:numPr>
          <w:ilvl w:val="2"/>
          <w:numId w:val="1"/>
        </w:numPr>
        <w:rPr/>
      </w:pPr>
      <w:r>
        <w:rPr/>
        <w:t>Remedies. Upon the occurrence of an Event of Default and the expiration of the cure period, if any, set forth in Section 6.2(a), the non breaching party may (i) institute an action for specific performance against the breaching party, (ii) institute an action against the breaching party for actual (but not punitive or consequential) damages incurred by the non breaching party, or (iii) in the event of the occurrence of an Event of Default under Section 6.1(a) and the non breaching party’s cure of such Event of Default pursuant to Section 6.2(a), direct the Owner to disburse all sums due to the breaching party on account of the Event of Default cured by the non breaching party to the non breaching party instead of to the breaching party.</w:t>
      </w:r>
    </w:p>
    <w:p>
      <w:pPr>
        <w:pStyle w:val="TextBody"/>
        <w:numPr>
          <w:ilvl w:val="2"/>
          <w:numId w:val="1"/>
        </w:numPr>
        <w:rPr/>
      </w:pPr>
      <w:r>
        <w:rPr/>
        <w:t>No Waiver.  The failure of the non-breaching party to exercise any right or remedy available to it pursuant to the terms of this Agreement or otherwise shall not be deemed to be a waiver of such right or remedy or of any of the terms and provisions of this Agreement.</w:t>
      </w:r>
    </w:p>
    <w:p>
      <w:pPr>
        <w:pStyle w:val="TextBody"/>
        <w:numPr>
          <w:ilvl w:val="0"/>
          <w:numId w:val="1"/>
        </w:numPr>
        <w:rPr>
          <w:b/>
          <w:b/>
          <w:bCs/>
        </w:rPr>
      </w:pPr>
      <w:r>
        <w:rPr>
          <w:b/>
          <w:bCs/>
        </w:rPr>
        <w:t>SECTION 7 - General Provisions</w:t>
      </w:r>
    </w:p>
    <w:p>
      <w:pPr>
        <w:pStyle w:val="TextBody"/>
        <w:numPr>
          <w:ilvl w:val="1"/>
          <w:numId w:val="1"/>
        </w:numPr>
        <w:rPr/>
      </w:pPr>
      <w:r>
        <w:rPr/>
        <w:t>Integration.  This Agreement constitutes the entire agreement and understanding of the parties with respect to the transactions contemplated hereby, and there are no other terms, understandings, representations, or warranties, express or implied.  No amendment, modification or termination of this Agreement shall be effective unless in writing and signed by the party intending to be bound thereby.</w:t>
      </w:r>
    </w:p>
    <w:p>
      <w:pPr>
        <w:pStyle w:val="TextBody"/>
        <w:numPr>
          <w:ilvl w:val="1"/>
          <w:numId w:val="1"/>
        </w:numPr>
        <w:rPr/>
      </w:pPr>
      <w:r>
        <w:rPr/>
        <w:t>No Third Party Beneficiaries.  The parties to this Agreement do not intend the benefit of this Agreement to inure to any third party.</w:t>
      </w:r>
    </w:p>
    <w:p>
      <w:pPr>
        <w:pStyle w:val="TextBody"/>
        <w:numPr>
          <w:ilvl w:val="1"/>
          <w:numId w:val="1"/>
        </w:numPr>
        <w:rPr/>
      </w:pPr>
      <w:r>
        <w:rPr/>
        <w:t>Counterparts.  This Agreement may be executed in counterparts, each of which shall be deemed an original.</w:t>
      </w:r>
    </w:p>
    <w:p>
      <w:pPr>
        <w:pStyle w:val="TextBody"/>
        <w:numPr>
          <w:ilvl w:val="1"/>
          <w:numId w:val="1"/>
        </w:numPr>
        <w:rPr/>
      </w:pPr>
      <w:r>
        <w:rPr/>
        <w:t>Time is of the Essence.  The parties hereto agree that time is of the essence for the performance of all obligations hereunder.</w:t>
      </w:r>
    </w:p>
    <w:p>
      <w:pPr>
        <w:pStyle w:val="TextBody"/>
        <w:numPr>
          <w:ilvl w:val="1"/>
          <w:numId w:val="1"/>
        </w:numPr>
        <w:rPr/>
      </w:pPr>
      <w:r>
        <w:rPr/>
        <w:t>Recording.  Neither party hereto shall file or attempt to file this Agreement for record.</w:t>
      </w:r>
    </w:p>
    <w:p>
      <w:pPr>
        <w:pStyle w:val="TextBody"/>
        <w:numPr>
          <w:ilvl w:val="1"/>
          <w:numId w:val="1"/>
        </w:numPr>
        <w:rPr/>
      </w:pPr>
      <w:r>
        <w:rPr/>
        <w:t>Successors and Assigns.  This Agreement may not be assigned by either of the parties hereto without the written consent of the other party.  Such assignment shall constitute an Event of Default, provided that an assignment by &lt;&lt;**FOR-PROFIT**&gt;&gt; or &lt;&lt;**NON-PROFIT**&gt;&gt; of their interest under this Agreement to an Affiliate shall not constitute an assignment hereof.  Subject as aforesaid, this Agreement shall inure to the benefit of and shall be binding upon the parties hereto and their respective successors and permitted assigns.</w:t>
      </w:r>
    </w:p>
    <w:p>
      <w:pPr>
        <w:pStyle w:val="TextBody"/>
        <w:numPr>
          <w:ilvl w:val="1"/>
          <w:numId w:val="1"/>
        </w:numPr>
        <w:rPr/>
      </w:pPr>
      <w:r>
        <w:rPr/>
        <w:t>Section Headings.  The section headings inserted into this Agreement are for convenience only and are not intended to and shall not be construed to limit, enlarge or affect the scope or intent of this Agreement nor the meaning of any provision hereof.</w:t>
      </w:r>
    </w:p>
    <w:p>
      <w:pPr>
        <w:pStyle w:val="TextBody"/>
        <w:numPr>
          <w:ilvl w:val="1"/>
          <w:numId w:val="1"/>
        </w:numPr>
        <w:rPr/>
      </w:pPr>
      <w:r>
        <w:rPr/>
        <w:t>Notices.  All notices or other communication given pursuant to this Agreement shall be in writing and shall be delivered by personal service, email or by the United States Postal Service using the addresses indicated below (or the same may be changed from time to time). Such notice shall be deemed to be given on the day on which is was emailed or actually received, whichever is earlier.</w:t>
      </w:r>
    </w:p>
    <w:p>
      <w:pPr>
        <w:pStyle w:val="Normal"/>
        <w:ind w:left="1418" w:hanging="0"/>
        <w:rPr/>
      </w:pPr>
      <w:r>
        <w:rPr/>
        <w:t>&lt;&lt;**NON-PROFIT**&gt;&gt;</w:t>
      </w:r>
    </w:p>
    <w:p>
      <w:pPr>
        <w:pStyle w:val="Normal"/>
        <w:ind w:left="1418" w:hanging="0"/>
        <w:rPr/>
      </w:pPr>
      <w:r>
        <w:rPr/>
        <w:t>&lt;&lt;address&gt;&gt;</w:t>
      </w:r>
    </w:p>
    <w:p>
      <w:pPr>
        <w:pStyle w:val="Normal"/>
        <w:ind w:left="1418" w:hanging="0"/>
        <w:rPr/>
      </w:pPr>
      <w:r>
        <w:rPr/>
        <w:t>&lt;&lt;phone&gt;&gt;</w:t>
      </w:r>
    </w:p>
    <w:p>
      <w:pPr>
        <w:pStyle w:val="Normal"/>
        <w:ind w:left="1418" w:hanging="0"/>
        <w:rPr/>
      </w:pPr>
      <w:r>
        <w:rPr/>
        <w:t>&lt;&lt;email&gt;&gt;</w:t>
      </w:r>
    </w:p>
    <w:p>
      <w:pPr>
        <w:pStyle w:val="Normal"/>
        <w:ind w:left="1418" w:hanging="0"/>
        <w:rPr/>
      </w:pPr>
      <w:r>
        <w:rPr/>
      </w:r>
    </w:p>
    <w:p>
      <w:pPr>
        <w:pStyle w:val="Normal"/>
        <w:ind w:left="1418" w:hanging="0"/>
        <w:rPr/>
      </w:pPr>
      <w:r>
        <w:rPr/>
        <w:t>&lt;&lt;**FOR-PROFIT**&gt;&gt;</w:t>
      </w:r>
    </w:p>
    <w:p>
      <w:pPr>
        <w:pStyle w:val="Normal"/>
        <w:ind w:left="1418" w:hanging="0"/>
        <w:rPr/>
      </w:pPr>
      <w:r>
        <w:rPr/>
        <w:t>&lt;&lt;address&gt;&gt;</w:t>
      </w:r>
    </w:p>
    <w:p>
      <w:pPr>
        <w:pStyle w:val="Normal"/>
        <w:ind w:left="1418" w:hanging="0"/>
        <w:rPr/>
      </w:pPr>
      <w:r>
        <w:rPr/>
        <w:t>&lt;&lt;phone&gt;&gt;</w:t>
      </w:r>
    </w:p>
    <w:p>
      <w:pPr>
        <w:pStyle w:val="Normal"/>
        <w:ind w:left="1418" w:hanging="0"/>
        <w:rPr/>
      </w:pPr>
      <w:r>
        <w:rPr/>
        <w:t>&lt;&lt;email&gt;&gt;</w:t>
      </w:r>
    </w:p>
    <w:p>
      <w:pPr>
        <w:pStyle w:val="Normal"/>
        <w:rPr/>
      </w:pPr>
      <w:r>
        <w:rPr/>
      </w:r>
    </w:p>
    <w:p>
      <w:pPr>
        <w:pStyle w:val="TextBody"/>
        <w:numPr>
          <w:ilvl w:val="1"/>
          <w:numId w:val="1"/>
        </w:numPr>
        <w:rPr/>
      </w:pPr>
      <w:r>
        <w:rPr/>
        <w:t>Governing Law.  The laws of Florida shall govern this Agreement.</w:t>
      </w:r>
    </w:p>
    <w:p>
      <w:pPr>
        <w:pStyle w:val="TextBody"/>
        <w:numPr>
          <w:ilvl w:val="1"/>
          <w:numId w:val="1"/>
        </w:numPr>
        <w:rPr/>
      </w:pPr>
      <w:r>
        <w:rPr/>
        <w:t>Severability.  Invalidation or a holding of unenforceability of any provision of this Agreement shall not affect any other provisions hereof, which other provisions shall remain in full force and effect.</w:t>
      </w:r>
    </w:p>
    <w:p>
      <w:pPr>
        <w:pStyle w:val="TextBody"/>
        <w:numPr>
          <w:ilvl w:val="1"/>
          <w:numId w:val="1"/>
        </w:numPr>
        <w:rPr/>
      </w:pPr>
      <w:r>
        <w:rPr/>
        <w:t xml:space="preserve">Effective Date.  This Agreement shall become effective on the earliest date that both parties have executed it below through the signature of their respective duly authorized agents ("Effective Date"). </w:t>
      </w:r>
      <w:r>
        <w:br w:type="page"/>
      </w:r>
    </w:p>
    <w:p>
      <w:pPr>
        <w:pStyle w:val="Normal"/>
        <w:rPr/>
      </w:pPr>
      <w:r>
        <w:rPr/>
      </w:r>
    </w:p>
    <w:p>
      <w:pPr>
        <w:pStyle w:val="Normal"/>
        <w:rPr/>
      </w:pPr>
      <w:r>
        <w:rPr/>
        <w:t>IN WITNESS WHEREOF,  the parties hereto agree to the above terms and have caused this Agreement to be executed in their names by the signatures of their duly authorized agents (below).</w:t>
      </w:r>
    </w:p>
    <w:p>
      <w:pPr>
        <w:pStyle w:val="Normal"/>
        <w:rPr/>
      </w:pPr>
      <w:r>
        <w:rPr/>
      </w:r>
    </w:p>
    <w:p>
      <w:pPr>
        <w:pStyle w:val="Normal"/>
        <w:rPr/>
      </w:pPr>
      <w:r>
        <w:rPr/>
      </w:r>
    </w:p>
    <w:tbl>
      <w:tblPr>
        <w:tblW w:w="9972" w:type="dxa"/>
        <w:jc w:val="left"/>
        <w:tblInd w:w="0" w:type="dxa"/>
        <w:tblBorders/>
        <w:tblCellMar>
          <w:top w:w="0" w:type="dxa"/>
          <w:left w:w="0" w:type="dxa"/>
          <w:bottom w:w="0" w:type="dxa"/>
          <w:right w:w="0" w:type="dxa"/>
        </w:tblCellMar>
      </w:tblPr>
      <w:tblGrid>
        <w:gridCol w:w="4986"/>
        <w:gridCol w:w="4985"/>
      </w:tblGrid>
      <w:tr>
        <w:trPr/>
        <w:tc>
          <w:tcPr>
            <w:tcW w:w="4986" w:type="dxa"/>
            <w:tcBorders/>
            <w:shd w:fill="auto" w:val="clear"/>
          </w:tcPr>
          <w:p>
            <w:pPr>
              <w:pStyle w:val="TableContents"/>
              <w:rPr/>
            </w:pPr>
            <w:r>
              <w:rPr>
                <w:b/>
                <w:bCs/>
              </w:rPr>
              <w:t>&lt;&lt;**enter full name of for-profit**&gt;&gt;</w:t>
            </w:r>
          </w:p>
          <w:p>
            <w:pPr>
              <w:pStyle w:val="TableContents"/>
              <w:rPr/>
            </w:pPr>
            <w:r>
              <w:rPr/>
            </w:r>
          </w:p>
          <w:p>
            <w:pPr>
              <w:pStyle w:val="TableContents"/>
              <w:rPr/>
            </w:pPr>
            <w:r>
              <w:rPr/>
              <w:t>by: _________________________________</w:t>
            </w:r>
          </w:p>
          <w:p>
            <w:pPr>
              <w:pStyle w:val="TableContents"/>
              <w:rPr/>
            </w:pPr>
            <w:r>
              <w:rPr/>
              <w:t xml:space="preserve">       </w:t>
            </w:r>
            <w:r>
              <w:rPr/>
              <w:t>signature</w:t>
            </w:r>
          </w:p>
          <w:p>
            <w:pPr>
              <w:pStyle w:val="TableContents"/>
              <w:rPr/>
            </w:pPr>
            <w:r>
              <w:rPr/>
              <w:t xml:space="preserve">      </w:t>
            </w:r>
            <w:r>
              <w:rPr/>
              <w:t>_________________________________</w:t>
            </w:r>
          </w:p>
          <w:p>
            <w:pPr>
              <w:pStyle w:val="TableContents"/>
              <w:rPr/>
            </w:pPr>
            <w:r>
              <w:rPr/>
              <w:t xml:space="preserve">      </w:t>
            </w:r>
            <w:r>
              <w:rPr/>
              <w:t>print name and title</w:t>
            </w:r>
          </w:p>
          <w:p>
            <w:pPr>
              <w:pStyle w:val="TableContents"/>
              <w:rPr/>
            </w:pPr>
            <w:r>
              <w:rPr/>
            </w:r>
          </w:p>
          <w:p>
            <w:pPr>
              <w:pStyle w:val="TableContents"/>
              <w:rPr/>
            </w:pPr>
            <w:r>
              <w:rPr/>
              <w:t>date: ____________________________</w:t>
            </w:r>
          </w:p>
        </w:tc>
        <w:tc>
          <w:tcPr>
            <w:tcW w:w="4985" w:type="dxa"/>
            <w:tcBorders/>
            <w:shd w:fill="auto" w:val="clear"/>
          </w:tcPr>
          <w:p>
            <w:pPr>
              <w:pStyle w:val="Normal"/>
              <w:rPr/>
            </w:pPr>
            <w:r>
              <w:rPr>
                <w:b/>
                <w:bCs/>
              </w:rPr>
              <w:t xml:space="preserve"> </w:t>
            </w:r>
            <w:r>
              <w:rPr>
                <w:b/>
                <w:bCs/>
              </w:rPr>
              <w:t>&lt;&lt;**enter full name of non-profit **&gt;&gt;</w:t>
            </w:r>
          </w:p>
          <w:p>
            <w:pPr>
              <w:pStyle w:val="TableContents"/>
              <w:rPr/>
            </w:pPr>
            <w:r>
              <w:rPr/>
            </w:r>
          </w:p>
          <w:p>
            <w:pPr>
              <w:pStyle w:val="TableContents"/>
              <w:rPr/>
            </w:pPr>
            <w:bookmarkStart w:id="0" w:name="__DdeLink__469_301479780"/>
            <w:r>
              <w:rPr/>
              <w:t>by: _________________________________</w:t>
            </w:r>
          </w:p>
          <w:p>
            <w:pPr>
              <w:pStyle w:val="TableContents"/>
              <w:rPr/>
            </w:pPr>
            <w:r>
              <w:rPr/>
              <w:t xml:space="preserve">      </w:t>
            </w:r>
            <w:r>
              <w:rPr/>
              <w:t xml:space="preserve"> </w:t>
            </w:r>
            <w:r>
              <w:rPr/>
              <w:t>signature</w:t>
            </w:r>
          </w:p>
          <w:p>
            <w:pPr>
              <w:pStyle w:val="TableContents"/>
              <w:rPr/>
            </w:pPr>
            <w:r>
              <w:rPr/>
              <w:t xml:space="preserve">      </w:t>
            </w:r>
            <w:r>
              <w:rPr/>
              <w:t>_________________________________</w:t>
            </w:r>
          </w:p>
          <w:p>
            <w:pPr>
              <w:pStyle w:val="TableContents"/>
              <w:rPr/>
            </w:pPr>
            <w:r>
              <w:rPr/>
              <w:t xml:space="preserve">      </w:t>
            </w:r>
            <w:r>
              <w:rPr/>
              <w:t>print name and title</w:t>
            </w:r>
          </w:p>
          <w:p>
            <w:pPr>
              <w:pStyle w:val="TableContents"/>
              <w:rPr/>
            </w:pPr>
            <w:r>
              <w:rPr/>
            </w:r>
          </w:p>
          <w:p>
            <w:pPr>
              <w:pStyle w:val="TableContents"/>
              <w:rPr/>
            </w:pPr>
            <w:bookmarkStart w:id="1" w:name="__DdeLink__469_301479780"/>
            <w:bookmarkEnd w:id="1"/>
            <w:r>
              <w:rPr/>
              <w:t>date: ____________________________</w:t>
            </w:r>
          </w:p>
          <w:p>
            <w:pPr>
              <w:pStyle w:val="TableContents"/>
              <w:rPr/>
            </w:pPr>
            <w:r>
              <w:rPr/>
            </w:r>
          </w:p>
          <w:p>
            <w:pPr>
              <w:pStyle w:val="TableContents"/>
              <w:rPr/>
            </w:pPr>
            <w:r>
              <w:rPr/>
            </w:r>
          </w:p>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header="0" w:top="1440" w:footer="653" w:bottom="1288"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Times New Roman">
    <w:charset w:val="01"/>
    <w:family w:val="swiss"/>
    <w:pitch w:val="default"/>
  </w:font>
  <w:font w:name="Symbol">
    <w:charset w:val="01"/>
    <w:family w:val="swiss"/>
    <w:pitch w:val="default"/>
  </w:font>
  <w:font w:name="StarSymbol">
    <w:altName w:val="Arial Unicode MS"/>
    <w:charset w:val="01"/>
    <w:family w:val="swiss"/>
    <w:pitch w:val="default"/>
  </w:font>
  <w:font w:name="Calibri">
    <w:charset w:val="01"/>
    <w:family w:val="swiss"/>
    <w:pitch w:val="default"/>
  </w:font>
  <w:font w:name="Liberation Sans">
    <w:altName w:val="Arial"/>
    <w:charset w:val="01"/>
    <w:family w:val="swiss"/>
    <w:pitch w:val="default"/>
  </w:font>
  <w:font w:name="Symbol">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Courier New" w:ascii="Liberation Sans" w:hAnsi="Liberation Sans"/>
        <w:sz w:val="18"/>
        <w:szCs w:val="18"/>
      </w:rPr>
      <w:t xml:space="preserve">Page: </w:t>
    </w:r>
    <w:r>
      <w:rPr>
        <w:rFonts w:cs="Courier New" w:ascii="Liberation Sans" w:hAnsi="Liberation Sans"/>
        <w:sz w:val="18"/>
        <w:szCs w:val="18"/>
      </w:rPr>
      <w:fldChar w:fldCharType="begin"/>
    </w:r>
    <w:r>
      <w:instrText> PAGE </w:instrText>
    </w:r>
    <w:r>
      <w:fldChar w:fldCharType="separate"/>
    </w:r>
    <w:r>
      <w:t>5</w:t>
    </w:r>
    <w:r>
      <w:fldChar w:fldCharType="end"/>
    </w:r>
    <w:r>
      <w:rPr>
        <w:rFonts w:cs="Courier New" w:ascii="Liberation Sans" w:hAnsi="Liberation Sans"/>
        <w:sz w:val="18"/>
        <w:szCs w:val="18"/>
      </w:rPr>
      <w:t xml:space="preserve"> </w:t>
    </w:r>
  </w:p>
  <w:p>
    <w:pPr>
      <w:pStyle w:val="Footer"/>
      <w:jc w:val="right"/>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32"/>
        </w:tabs>
        <w:ind w:left="432" w:hanging="432"/>
      </w:pPr>
    </w:lvl>
    <w:lvl w:ilvl="1">
      <w:start w:val="1"/>
      <w:numFmt w:val="decimal"/>
      <w:lvlText w:val="%1.%2. "/>
      <w:lvlJc w:val="left"/>
      <w:pPr>
        <w:ind w:left="1008" w:hanging="576"/>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tarSymbol" w:hAnsi="StarSymbol" w:cs="StarSymbol" w:hint="default"/>
        <w:rFonts w:cs="StarSymbol"/>
      </w:rPr>
    </w:lvl>
    <w:lvl w:ilvl="8">
      <w:start w:val="1"/>
      <w:numFmt w:val="bullet"/>
      <w:lvlText w:val="▪"/>
      <w:lvlJc w:val="left"/>
      <w:pPr>
        <w:tabs>
          <w:tab w:val="num" w:pos="3600"/>
        </w:tabs>
        <w:ind w:left="3600" w:hanging="360"/>
      </w:pPr>
      <w:rPr>
        <w:rFonts w:ascii="StarSymbol" w:hAnsi="StarSymbol" w:cs="StarSymbol" w:hint="default"/>
        <w:rFonts w:cs="Star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FreeSans"/>
        <w:sz w:val="24"/>
        <w:szCs w:val="24"/>
        <w:lang w:val="en-US" w:eastAsia="zh-CN" w:bidi="hi-IN"/>
      </w:rPr>
    </w:rPrDefault>
    <w:pPrDefault>
      <w:pPr/>
    </w:pPrDefault>
  </w:docDefaults>
  <w:style w:type="paragraph" w:styleId="Normal">
    <w:name w:val="Normal"/>
    <w:qFormat/>
    <w:pPr>
      <w:widowControl/>
      <w:suppressAutoHyphens w:val="false"/>
      <w:overflowPunct w:val="tru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WW8Num3z6">
    <w:name w:val="WW8Num3z6"/>
    <w:qFormat/>
    <w:rPr>
      <w:rFonts w:ascii="Symbol" w:hAnsi="Symbol" w:cs="OpenSymbol;Arial Unicode MS"/>
    </w:rPr>
  </w:style>
  <w:style w:type="character" w:styleId="WW8Num3z4">
    <w:name w:val="WW8Num3z4"/>
    <w:qFormat/>
    <w:rPr>
      <w:rFonts w:ascii="StarSymbol;Arial Unicode MS" w:hAnsi="StarSymbol;Arial Unicode MS" w:cs="OpenSymbol;Arial Unicode MS"/>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3">
    <w:name w:val="WW8Num2z3"/>
    <w:qFormat/>
    <w:rPr>
      <w:rFonts w:ascii="Symbol" w:hAnsi="Symbol" w:cs="OpenSymbol;Arial Unicode MS"/>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Symbol"/>
    </w:rPr>
  </w:style>
  <w:style w:type="character" w:styleId="ListLabel14">
    <w:name w:val="ListLabel 14"/>
    <w:qFormat/>
    <w:rPr>
      <w:rFonts w:cs="StarSymbol"/>
    </w:rPr>
  </w:style>
  <w:style w:type="character" w:styleId="ListLabel15">
    <w:name w:val="ListLabel 15"/>
    <w:qFormat/>
    <w:rPr>
      <w:rFonts w:cs="Star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Symbol"/>
    </w:rPr>
  </w:style>
  <w:style w:type="character" w:styleId="ListLabel20">
    <w:name w:val="ListLabel 20"/>
    <w:qFormat/>
    <w:rPr>
      <w:rFonts w:cs="StarSymbol"/>
    </w:rPr>
  </w:style>
  <w:style w:type="character" w:styleId="ListLabel21">
    <w:name w:val="ListLabel 21"/>
    <w:qFormat/>
    <w:rPr>
      <w:rFonts w:cs="Star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overflowPunct w:val="true"/>
      <w:bidi w:val="0"/>
      <w:jc w:val="left"/>
    </w:pPr>
    <w:rPr>
      <w:rFonts w:ascii="Carlito" w:hAnsi="Carlito"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jc w:val="left"/>
    </w:pPr>
    <w:rPr>
      <w:rFonts w:ascii="Carlito" w:hAnsi="Carlito" w:eastAsia="DejaVu Sans" w:cs="FreeSans"/>
      <w:color w:val="00000A"/>
      <w:sz w:val="20"/>
      <w:szCs w:val="20"/>
      <w:lang w:val="en-US" w:eastAsia="zh-CN" w:bidi="hi-IN"/>
    </w:rPr>
  </w:style>
  <w:style w:type="paragraph" w:styleId="AIATableofArticles">
    <w:name w:val="AIA Table of Articles"/>
    <w:qFormat/>
    <w:pPr>
      <w:widowControl/>
      <w:overflowPunct w:val="true"/>
      <w:bidi w:val="0"/>
      <w:spacing w:before="0" w:after="0"/>
      <w:ind w:left="720" w:right="0" w:hanging="720"/>
      <w:jc w:val="left"/>
    </w:pPr>
    <w:rPr>
      <w:rFonts w:ascii="Carlito" w:hAnsi="Carlito"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overflowPunct w:val="true"/>
      <w:bidi w:val="0"/>
      <w:jc w:val="right"/>
    </w:pPr>
    <w:rPr>
      <w:rFonts w:ascii="Carlito" w:hAnsi="Carlito"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paragraph" w:styleId="TableHeading">
    <w:name w:val="Table Heading"/>
    <w:basedOn w:val="TableContents"/>
    <w:qFormat/>
    <w:pPr>
      <w:suppressLineNumbers/>
      <w:jc w:val="center"/>
    </w:pPr>
    <w:rPr>
      <w:b/>
      <w:bCs/>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75</TotalTime>
  <Application>LibreOffice/5.3.0.3$Linux_X86_64 LibreOffice_project/30m0$Build-3</Application>
  <Pages>5</Pages>
  <Words>1864</Words>
  <Characters>10532</Characters>
  <CharactersWithSpaces>12387</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2016-04-02T16:45:26Z</dcterms:created>
  <dc:creator>John Little</dc:creator>
  <dc:description/>
  <dc:language>en-US</dc:language>
  <cp:lastModifiedBy>John Little</cp:lastModifiedBy>
  <dcterms:modified xsi:type="dcterms:W3CDTF">2017-03-15T18:25:57Z</dcterms:modified>
  <cp:revision>15</cp:revision>
  <dc:subject/>
  <dc:title/>
</cp:coreProperties>
</file>