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PURCHASE AND SALE AGREEMENT</w:t>
      </w:r>
    </w:p>
    <w:p>
      <w:pPr>
        <w:pStyle w:val="Normal"/>
        <w:rPr/>
      </w:pPr>
      <w:r>
        <w:rPr/>
      </w:r>
    </w:p>
    <w:p>
      <w:pPr>
        <w:pStyle w:val="Normal"/>
        <w:rPr/>
      </w:pPr>
      <w:r>
        <w:rPr/>
        <w:tab/>
        <w:t>THIS AGREEMENT ("</w:t>
      </w:r>
      <w:r>
        <w:rPr>
          <w:b/>
          <w:bCs/>
        </w:rPr>
        <w:t>Agreement</w:t>
      </w:r>
      <w:r>
        <w:rPr/>
        <w:t>") is made and entered into by and between &lt;&lt;**</w:t>
      </w:r>
      <w:r>
        <w:rPr>
          <w:highlight w:val="yellow"/>
        </w:rPr>
        <w:t>enter name</w:t>
      </w:r>
      <w:r>
        <w:rPr/>
        <w:t>**&gt;&gt;, a Florida corporation ("</w:t>
      </w:r>
      <w:r>
        <w:rPr>
          <w:b/>
          <w:bCs/>
        </w:rPr>
        <w:t>Seller</w:t>
      </w:r>
      <w:r>
        <w:rPr/>
        <w:t>"), and &lt;&lt;**</w:t>
      </w:r>
      <w:r>
        <w:rPr>
          <w:highlight w:val="yellow"/>
        </w:rPr>
        <w:t>enter name</w:t>
      </w:r>
      <w:r>
        <w:rPr/>
        <w:t>**&gt;&gt;, a Florida not for profit corporation, or his successor or assignee ("</w:t>
      </w:r>
      <w:r>
        <w:rPr>
          <w:b/>
          <w:bCs/>
        </w:rPr>
        <w:t>Buyer</w:t>
      </w:r>
      <w:r>
        <w:rPr/>
        <w:t>").  The Agreement shall become effective on the earliest date that both parties have executed it below with their signature or the signature of their authorized agent ("</w:t>
      </w:r>
      <w:r>
        <w:rPr>
          <w:b/>
          <w:bCs/>
        </w:rPr>
        <w:t>Effective Date</w:t>
      </w:r>
      <w:r>
        <w:rPr/>
        <w:t>"). In consideration of the mutual covenants and agreements set forth below and in connection with the following:</w:t>
      </w:r>
    </w:p>
    <w:p>
      <w:pPr>
        <w:pStyle w:val="Normal"/>
        <w:rPr/>
      </w:pPr>
      <w:r>
        <w:rPr/>
      </w:r>
    </w:p>
    <w:p>
      <w:pPr>
        <w:pStyle w:val="TextBody"/>
        <w:numPr>
          <w:ilvl w:val="0"/>
          <w:numId w:val="1"/>
        </w:numPr>
        <w:rPr/>
      </w:pPr>
      <w:r>
        <w:rPr/>
        <w:t>1.</w:t>
        <w:tab/>
        <w:t>Sale and Purchase of Property.  Subject to the terms and conditions of this Agreement, Seller agrees to sell, convey and assign to Buyer at Closing (as defined below), and Buyer agrees to purchase from Seller at Closing, all of Seller’s right, title and interest in and to the following:</w:t>
      </w:r>
    </w:p>
    <w:p>
      <w:pPr>
        <w:pStyle w:val="TextBody"/>
        <w:numPr>
          <w:ilvl w:val="1"/>
          <w:numId w:val="1"/>
        </w:numPr>
        <w:rPr/>
      </w:pPr>
      <w:r>
        <w:rPr/>
        <w:t>The fee simple estate in the real property owned by Seller (the "</w:t>
      </w:r>
      <w:r>
        <w:rPr>
          <w:b/>
          <w:bCs/>
        </w:rPr>
        <w:t>Land</w:t>
      </w:r>
      <w:r>
        <w:rPr/>
        <w:t>"), and including all easements, hereditaments and appurtenances relating to the Land; and Seller’s right, title and interest in adjacent streets, alleys, and rights-of-way, and adjacent strips and gores; and any land lying in the bed of any street in front of or adjoining the Land.  The Land is more particularly described as follows:</w:t>
      </w:r>
    </w:p>
    <w:p>
      <w:pPr>
        <w:pStyle w:val="TextBody"/>
        <w:numPr>
          <w:ilvl w:val="1"/>
          <w:numId w:val="1"/>
        </w:numPr>
        <w:rPr/>
      </w:pPr>
      <w:r>
        <w:rPr/>
        <w:tab/>
        <w:t xml:space="preserve"> &lt;&lt;**</w:t>
      </w:r>
      <w:r>
        <w:rPr>
          <w:highlight w:val="yellow"/>
        </w:rPr>
        <w:t>enter Land description here - if lengthy make an exhibit and add reference here</w:t>
      </w:r>
      <w:r>
        <w:rPr/>
        <w:t>**&gt;&gt;</w:t>
      </w:r>
    </w:p>
    <w:p>
      <w:pPr>
        <w:pStyle w:val="TextBody"/>
        <w:numPr>
          <w:ilvl w:val="1"/>
          <w:numId w:val="1"/>
        </w:numPr>
        <w:rPr/>
      </w:pPr>
      <w:r>
        <w:rPr/>
        <w:t>Sellers’ right, title, and interest in (i) all buildings, structures, fixtures, utility or other installations, and other improvements owned or leased by Seller and located on or serving the Land ("</w:t>
      </w:r>
      <w:r>
        <w:rPr>
          <w:b/>
          <w:bCs/>
        </w:rPr>
        <w:t>Improvements</w:t>
      </w:r>
      <w:r>
        <w:rPr/>
        <w:t>"); (ii) all equipment, machinery, furniture, furnishings, building material and other personal property owned or leased by Seller and located on, attached to or used in connection with the Land or Improvements, including warranties and guaranties, if any ("</w:t>
      </w:r>
      <w:r>
        <w:rPr>
          <w:b/>
          <w:bCs/>
        </w:rPr>
        <w:t>Personal Property</w:t>
      </w:r>
      <w:r>
        <w:rPr/>
        <w:t>");</w:t>
      </w:r>
    </w:p>
    <w:p>
      <w:pPr>
        <w:pStyle w:val="TextBody"/>
        <w:numPr>
          <w:ilvl w:val="1"/>
          <w:numId w:val="1"/>
        </w:numPr>
        <w:rPr/>
      </w:pPr>
      <w:r>
        <w:rPr/>
        <w:t>Transferable covenants, authorization, variances or waivers, licenses, permits and approvals from any governmental or quasi-governmental agency in respect of the Land and Improvements, including with respect to zoning, use, utilities, concurrency compliance, vested rights, building, fire, life safety, traffic and flood (collectively, the "</w:t>
      </w:r>
      <w:r>
        <w:rPr>
          <w:b/>
          <w:bCs/>
        </w:rPr>
        <w:t>Licenses</w:t>
      </w:r>
      <w:r>
        <w:rPr/>
        <w:t>");</w:t>
      </w:r>
    </w:p>
    <w:p>
      <w:pPr>
        <w:pStyle w:val="TextBody"/>
        <w:numPr>
          <w:ilvl w:val="1"/>
          <w:numId w:val="1"/>
        </w:numPr>
        <w:rPr/>
      </w:pPr>
      <w:r>
        <w:rPr/>
        <w:t>All leases, licenses, rents, profits, deposits, prepaid insurance premiums and insurance policies, accounts, contracts and general intangibles relating to or deriving from the Land or Improvements, and all proceeds thereof from after Closing, and Seller’s books and records relating to the Land and Improvements, including title and survey materials, building plans, engineering, environmental and other studies relating to the Land or Improvements; and any other rights, privileges, and appurtenances owned by Seller and used or useful in connection with the Land, Improvements, Personal Property, or Licenses (all of the foregoing being collectively referred to as the "</w:t>
      </w:r>
      <w:r>
        <w:rPr>
          <w:b/>
          <w:bCs/>
        </w:rPr>
        <w:t>Property</w:t>
      </w:r>
      <w:r>
        <w:rPr/>
        <w:t>").</w:t>
      </w:r>
    </w:p>
    <w:p>
      <w:pPr>
        <w:pStyle w:val="TextBody"/>
        <w:numPr>
          <w:ilvl w:val="0"/>
          <w:numId w:val="1"/>
        </w:numPr>
        <w:rPr/>
      </w:pPr>
      <w:r>
        <w:rPr/>
        <w:t xml:space="preserve">Transfer of Property. Seller will transfer title to and possession of the Property to Buyer at Closing. Title to the Land will be transferred to Buyer by statutory warranty deed, subject only to Permitted Exceptions as defined below.  Title to the Personal Property and other aspects of the Property will be transferred free and clear of liens pursuant to a bill of sale and assignments approved by Buyer.  If the transfer of any Licenses requires a third-person or governing consent, Seller will use reasonable efforts to help Buyer obtain such consents prior to Closing. </w:t>
      </w:r>
    </w:p>
    <w:p>
      <w:pPr>
        <w:pStyle w:val="TextBody"/>
        <w:numPr>
          <w:ilvl w:val="0"/>
          <w:numId w:val="1"/>
        </w:numPr>
        <w:rPr/>
      </w:pPr>
      <w:r>
        <w:rPr/>
        <w:t xml:space="preserve">Purchase Price and Option Payments. </w:t>
      </w:r>
    </w:p>
    <w:p>
      <w:pPr>
        <w:pStyle w:val="TextBody"/>
        <w:numPr>
          <w:ilvl w:val="1"/>
          <w:numId w:val="1"/>
        </w:numPr>
        <w:rPr/>
      </w:pPr>
      <w:r>
        <w:rPr/>
        <w:t>The purchase price to be paid by Buyer to Seller for the Property (the "</w:t>
      </w:r>
      <w:r>
        <w:rPr>
          <w:b/>
          <w:bCs/>
        </w:rPr>
        <w:t>Purchase Price"</w:t>
      </w:r>
      <w:r>
        <w:rPr/>
        <w:t>) is &lt;&lt;**</w:t>
      </w:r>
      <w:r>
        <w:rPr>
          <w:highlight w:val="yellow"/>
        </w:rPr>
        <w:t>spell out  amount</w:t>
      </w:r>
      <w:r>
        <w:rPr/>
        <w:t>**&gt;&gt; Dollars ($ &lt;&lt;</w:t>
      </w:r>
      <w:r>
        <w:rPr>
          <w:highlight w:val="yellow"/>
        </w:rPr>
        <w:t>enter numerical amount</w:t>
      </w:r>
      <w:r>
        <w:rPr/>
        <w:t xml:space="preserve">&gt;&gt;) subject to the adjustments and prorations provided for herein. </w:t>
      </w:r>
    </w:p>
    <w:p>
      <w:pPr>
        <w:pStyle w:val="TextBody"/>
        <w:numPr>
          <w:ilvl w:val="1"/>
          <w:numId w:val="1"/>
        </w:numPr>
        <w:rPr/>
      </w:pPr>
      <w:r>
        <w:rPr/>
        <w:t>Within five days after the Effective Date, Buyer will deposit the sum of &lt;&lt;**</w:t>
      </w:r>
      <w:r>
        <w:rPr>
          <w:highlight w:val="yellow"/>
        </w:rPr>
        <w:t>spell out  amount</w:t>
      </w:r>
      <w:r>
        <w:rPr/>
        <w:t>**&gt;&gt; Dollars ($ &lt;&lt;</w:t>
      </w:r>
      <w:r>
        <w:rPr>
          <w:highlight w:val="yellow"/>
        </w:rPr>
        <w:t>enter numerical amount</w:t>
      </w:r>
      <w:r>
        <w:rPr/>
        <w:t>&gt;&gt;) with the Escrow Agent (the "</w:t>
      </w:r>
      <w:r>
        <w:rPr>
          <w:b/>
          <w:bCs/>
        </w:rPr>
        <w:t>Deposit</w:t>
      </w:r>
      <w:r>
        <w:rPr/>
        <w:t xml:space="preserve">") At the written request of Buyer, the Deposit may be held in an interest bearing account as established by the Escrow Agent, however, the Escrow Agent shall not be obligated to seek the highest interest rate available for the Deposit. If the Deposit earns interest, the interest shall be paid or credited to Seller if it is entitled to receive the Deposit under this Agreement, or paid to Buyer if it is entitled to a return of the Deposit under this Agreement. Buyer acknowledges that Escrow Agent is unable to place the escrowed funds in an interest bearing account unless the escrowed funds are accompanied by a fully executed Form W-9 executed by the Buyer. </w:t>
      </w:r>
    </w:p>
    <w:p>
      <w:pPr>
        <w:pStyle w:val="TextBody"/>
        <w:numPr>
          <w:ilvl w:val="1"/>
          <w:numId w:val="1"/>
        </w:numPr>
        <w:rPr/>
      </w:pPr>
      <w:r>
        <w:rPr/>
        <w:t xml:space="preserve">The Deposit will apply to and be credited against the Purchase Price upon Closing.  </w:t>
      </w:r>
    </w:p>
    <w:p>
      <w:pPr>
        <w:pStyle w:val="TextBody"/>
        <w:numPr>
          <w:ilvl w:val="1"/>
          <w:numId w:val="1"/>
        </w:numPr>
        <w:rPr/>
      </w:pPr>
      <w:r>
        <w:rPr/>
        <w:t xml:space="preserve">At Closing, Buyer will pay to Seller the remainder of the Purchase Price by cashier’s check or wire transfer of immediately available funds at Seller’s option.  </w:t>
      </w:r>
    </w:p>
    <w:p>
      <w:pPr>
        <w:pStyle w:val="TextBody"/>
        <w:numPr>
          <w:ilvl w:val="0"/>
          <w:numId w:val="1"/>
        </w:numPr>
        <w:rPr/>
      </w:pPr>
      <w:r>
        <w:rPr/>
        <w:t>Escrow Agent. Buyer and Seller have selected &lt;&lt;**</w:t>
      </w:r>
      <w:r>
        <w:rPr>
          <w:highlight w:val="yellow"/>
        </w:rPr>
        <w:t>enter name</w:t>
      </w:r>
      <w:r>
        <w:rPr/>
        <w:t>**&gt;&gt; (the "</w:t>
      </w:r>
      <w:r>
        <w:rPr>
          <w:b/>
          <w:bCs/>
        </w:rPr>
        <w:t>Escrow Agent</w:t>
      </w:r>
      <w:r>
        <w:rPr/>
        <w:t xml:space="preserve">") to act as escrow and title agent in closing this transaction. This Agreement shall serve as escrow instructions on the condition that if required by Escrow Agent, the parties will execute a separate form of escrow agreement as may be mutually acceptable to the parties. In the event a dispute shall arise between the parties as to the distribution of the Deposit, or in the event Escrow Agent receives conflicting instructions from the parties, which after written notice from the Escrow Agent are not clarified by the parties, or in the event this Agreement or the Deposit becomes involved in litigation, Seller and Buyer authorize Escrow Agent to deposit the Deposit with the clerk of court in which the litigation is pending, or absent pending litigation, with a court of competent jurisdiction in Miami-Dade County, Florida, and thereupon the Escrow Agent shall be fully relieved and discharged of any further responsibility under this Agreement.  The other parties also authorize the Escrow Agent, if it is threatened with litigation, to interplead all interested parties in any court of competent jurisdiction and to post the Deposit with the clerk of court and thereupon the Escrow Agent shall be relieved and discharged or any responsibility or liability hereunder.  </w:t>
      </w:r>
    </w:p>
    <w:p>
      <w:pPr>
        <w:pStyle w:val="TextBody"/>
        <w:numPr>
          <w:ilvl w:val="0"/>
          <w:numId w:val="1"/>
        </w:numPr>
        <w:rPr/>
      </w:pPr>
      <w:r>
        <w:rPr/>
        <w:t>Seller’s Deliverables. Within ten business days after the Effective Date, Seller will deliver to Buyer: (i) a legible copy of an existing as-built survey for the Land, if available; (ii) a copy of Seller’s (or its lender’s) existing title commitment or policy with respect to the Land (the "</w:t>
      </w:r>
      <w:r>
        <w:rPr>
          <w:b/>
          <w:bCs/>
        </w:rPr>
        <w:t>Existing Policy</w:t>
      </w:r>
      <w:r>
        <w:rPr/>
        <w:t>"), together with copies of the documents listed as exceptions in Seller’s possession or control; and (iii) copies of any leases or occupancy agreements, and rent rolls and correspondence or documents with tenants or occupants, evidence of any security deposits held by Seller and any claims with respect to security deposits, copies of other contracts relating to the Property, Licenses in Seller’s possession or control, and environmental or engineering studies, if available.</w:t>
      </w:r>
    </w:p>
    <w:p>
      <w:pPr>
        <w:pStyle w:val="TextBody"/>
        <w:numPr>
          <w:ilvl w:val="0"/>
          <w:numId w:val="1"/>
        </w:numPr>
        <w:rPr/>
      </w:pPr>
      <w:r>
        <w:rPr/>
        <w:t>Title Insurance Commitment. As soon as practicable after the Effective Date, Buyer will procure, at Buyer’s expense, the Title Commitment ("</w:t>
      </w:r>
      <w:r>
        <w:rPr>
          <w:b/>
          <w:bCs/>
        </w:rPr>
        <w:t>Commitment</w:t>
      </w:r>
      <w:r>
        <w:rPr/>
        <w:t>") for an owner’s policy in an amount equal to the Purchase Price (with such affirmative assurances and endorsements as reasonably may be obtainable and requested by Buyer). The Title Commitment will show that Seller is vested with and can convey to Buyer good and marketable and insurable fee simple title to the Land subject only to the Permitted Exceptions. Buyer’s obligation to complete the Closing is conditioned on the Title Company committing to deliver to Buyer at Closing an owner’s (ALTA) policy of title insurance in the amount of the Purchase Price (the "</w:t>
      </w:r>
      <w:r>
        <w:rPr>
          <w:b/>
          <w:bCs/>
        </w:rPr>
        <w:t>Title Policy</w:t>
      </w:r>
      <w:r>
        <w:rPr/>
        <w:t xml:space="preserve">").  </w:t>
      </w:r>
    </w:p>
    <w:p>
      <w:pPr>
        <w:pStyle w:val="TextBody"/>
        <w:numPr>
          <w:ilvl w:val="0"/>
          <w:numId w:val="1"/>
        </w:numPr>
        <w:rPr/>
      </w:pPr>
      <w:r>
        <w:rPr/>
        <w:t>Inspection Period.  Buyer will have a &lt;&lt;**</w:t>
      </w:r>
      <w:r>
        <w:rPr>
          <w:highlight w:val="yellow"/>
        </w:rPr>
        <w:t xml:space="preserve">enter number </w:t>
      </w:r>
      <w:r>
        <w:rPr/>
        <w:t>**&gt;&gt; day due diligence period commencing on the Effective Date, to inspect and investigate the Property and to obtain financing (the "</w:t>
      </w:r>
      <w:r>
        <w:rPr>
          <w:b/>
          <w:bCs/>
        </w:rPr>
        <w:t>Inspection Period</w:t>
      </w:r>
      <w:r>
        <w:rPr/>
        <w:t xml:space="preserve">").  During the Inspection Period, Seller shall provide Buyer with access to all of the information in Seller’s possession or control that is pertinent to the Property. </w:t>
      </w:r>
    </w:p>
    <w:p>
      <w:pPr>
        <w:pStyle w:val="TextBody"/>
        <w:numPr>
          <w:ilvl w:val="1"/>
          <w:numId w:val="1"/>
        </w:numPr>
        <w:rPr/>
      </w:pPr>
      <w:r>
        <w:rPr/>
        <w:t>Notwithstanding the foregoing, on or before five (5) business days after the Effective Date, the Seller shall deliver the following documents (if they are in the Seller’s possession) to the Buyer for the Buyer’s review:</w:t>
      </w:r>
    </w:p>
    <w:p>
      <w:pPr>
        <w:pStyle w:val="TextBody"/>
        <w:numPr>
          <w:ilvl w:val="2"/>
          <w:numId w:val="1"/>
        </w:numPr>
        <w:rPr/>
      </w:pPr>
      <w:r>
        <w:rPr/>
        <w:t>A copy of all agreements of any type affecting all or any portion of the Property which are in effect as of the Effective Date and which will survive the closing contemplated hereunder (the "</w:t>
      </w:r>
      <w:r>
        <w:rPr>
          <w:b/>
          <w:bCs/>
        </w:rPr>
        <w:t>Surviving Contracts</w:t>
      </w:r>
      <w:r>
        <w:rPr/>
        <w:t xml:space="preserve">").  The Surviving Contracts include but are not limited to all leases, maintenance agreements, service agreements and warranties which affect the Property; </w:t>
      </w:r>
    </w:p>
    <w:p>
      <w:pPr>
        <w:pStyle w:val="TextBody"/>
        <w:numPr>
          <w:ilvl w:val="2"/>
          <w:numId w:val="1"/>
        </w:numPr>
        <w:rPr/>
      </w:pPr>
      <w:r>
        <w:rPr/>
        <w:t>A copy of all surveys; floor plans; architectural, construction, renovation and as-built plans for the Property and the improvements thereon;</w:t>
      </w:r>
    </w:p>
    <w:p>
      <w:pPr>
        <w:pStyle w:val="TextBody"/>
        <w:numPr>
          <w:ilvl w:val="2"/>
          <w:numId w:val="1"/>
        </w:numPr>
        <w:rPr/>
      </w:pPr>
      <w:r>
        <w:rPr/>
        <w:t>A copy of all inspection reports, environmental reports (including but not limited to asbestos reports, radon reports, and Phase I and II studies), traffic studies, soils tests, appraisals and any other reports of any description in Seller’s possession or control with respect to the Property;</w:t>
      </w:r>
    </w:p>
    <w:p>
      <w:pPr>
        <w:pStyle w:val="TextBody"/>
        <w:numPr>
          <w:ilvl w:val="2"/>
          <w:numId w:val="1"/>
        </w:numPr>
        <w:rPr/>
      </w:pPr>
      <w:r>
        <w:rPr/>
        <w:t>A copy of all insurance policies, insurance bills and insurance claims made by the Seller or of which the Seller has actual knowledge with respect to insurance covering the Property from the period January 1, &lt;&lt;**</w:t>
      </w:r>
      <w:r>
        <w:rPr>
          <w:highlight w:val="yellow"/>
        </w:rPr>
        <w:t>enter year</w:t>
      </w:r>
      <w:r>
        <w:rPr/>
        <w:t xml:space="preserve">**&gt;&gt; through the Effective Date. </w:t>
      </w:r>
    </w:p>
    <w:p>
      <w:pPr>
        <w:pStyle w:val="TextBody"/>
        <w:numPr>
          <w:ilvl w:val="2"/>
          <w:numId w:val="1"/>
        </w:numPr>
        <w:rPr/>
      </w:pPr>
      <w:r>
        <w:rPr/>
        <w:t xml:space="preserve">A copy of all notices received by the Seller from any insurance company or governing municipal authority with respect to any violations on the Property, the condition of the Property, or assessments to be imposed against the Property. </w:t>
      </w:r>
    </w:p>
    <w:p>
      <w:pPr>
        <w:pStyle w:val="TextBody"/>
        <w:numPr>
          <w:ilvl w:val="2"/>
          <w:numId w:val="1"/>
        </w:numPr>
        <w:rPr/>
      </w:pPr>
      <w:r>
        <w:rPr/>
        <w:t>A copy of all licenses and permits obtained by Seller in connection with the operation of the Property including, without limitation, all local, county, state,  and federal permits and use agreements;</w:t>
      </w:r>
    </w:p>
    <w:p>
      <w:pPr>
        <w:pStyle w:val="TextBody"/>
        <w:numPr>
          <w:ilvl w:val="2"/>
          <w:numId w:val="1"/>
        </w:numPr>
        <w:rPr/>
      </w:pPr>
      <w:r>
        <w:rPr/>
        <w:t>An inventory of all personal property and equipment which is owned or leased by Seller and used in the operation of the Property;</w:t>
      </w:r>
    </w:p>
    <w:p>
      <w:pPr>
        <w:pStyle w:val="TextBody"/>
        <w:numPr>
          <w:ilvl w:val="2"/>
          <w:numId w:val="1"/>
        </w:numPr>
        <w:rPr/>
      </w:pPr>
      <w:r>
        <w:rPr/>
        <w:t>A copy of all leasing plans and brochures for the Property and a list of prospective tenants who have made inquiry during the preceding 6 months regarding renting space at the Property;</w:t>
      </w:r>
    </w:p>
    <w:p>
      <w:pPr>
        <w:pStyle w:val="TextBody"/>
        <w:numPr>
          <w:ilvl w:val="2"/>
          <w:numId w:val="1"/>
        </w:numPr>
        <w:rPr/>
      </w:pPr>
      <w:r>
        <w:rPr/>
        <w:t>Copies of all leases and other agreements related to the Property which have been sent out for signature;</w:t>
      </w:r>
    </w:p>
    <w:p>
      <w:pPr>
        <w:pStyle w:val="TextBody"/>
        <w:numPr>
          <w:ilvl w:val="2"/>
          <w:numId w:val="1"/>
        </w:numPr>
        <w:rPr/>
      </w:pPr>
      <w:r>
        <w:rPr/>
        <w:t>A copy of the current management agreement for the Property;</w:t>
      </w:r>
    </w:p>
    <w:p>
      <w:pPr>
        <w:pStyle w:val="TextBody"/>
        <w:numPr>
          <w:ilvl w:val="2"/>
          <w:numId w:val="1"/>
        </w:numPr>
        <w:rPr/>
      </w:pPr>
      <w:r>
        <w:rPr/>
        <w:t>A list of all employees of the Seller including their wages and benefits;</w:t>
      </w:r>
    </w:p>
    <w:p>
      <w:pPr>
        <w:pStyle w:val="TextBody"/>
        <w:numPr>
          <w:ilvl w:val="2"/>
          <w:numId w:val="1"/>
        </w:numPr>
        <w:rPr/>
      </w:pPr>
      <w:r>
        <w:rPr/>
        <w:t>A copy of any employment contracts or union agreements entered into by Seller with respect to the Property;</w:t>
      </w:r>
    </w:p>
    <w:p>
      <w:pPr>
        <w:pStyle w:val="TextBody"/>
        <w:numPr>
          <w:ilvl w:val="2"/>
          <w:numId w:val="1"/>
        </w:numPr>
        <w:rPr/>
      </w:pPr>
      <w:r>
        <w:rPr/>
        <w:t>A copy of all outstanding bills for work performed at the Property and all maintenance logs from January 1, &lt;&lt;**</w:t>
      </w:r>
      <w:r>
        <w:rPr>
          <w:highlight w:val="yellow"/>
        </w:rPr>
        <w:t>enter year</w:t>
      </w:r>
      <w:r>
        <w:rPr/>
        <w:t>**&gt;&gt; through the Effective Date.</w:t>
      </w:r>
    </w:p>
    <w:p>
      <w:pPr>
        <w:pStyle w:val="TextBody"/>
        <w:numPr>
          <w:ilvl w:val="2"/>
          <w:numId w:val="1"/>
        </w:numPr>
        <w:rPr/>
      </w:pPr>
      <w:r>
        <w:rPr/>
        <w:t>a copy of any ADA complaints received by the Seller;</w:t>
      </w:r>
    </w:p>
    <w:p>
      <w:pPr>
        <w:pStyle w:val="TextBody"/>
        <w:numPr>
          <w:ilvl w:val="2"/>
          <w:numId w:val="1"/>
        </w:numPr>
        <w:rPr/>
      </w:pPr>
      <w:r>
        <w:rPr/>
        <w:t>a description of any actual or threatened litigation with respect to the Seller or the Property.</w:t>
      </w:r>
    </w:p>
    <w:p>
      <w:pPr>
        <w:pStyle w:val="TextBody"/>
        <w:numPr>
          <w:ilvl w:val="1"/>
          <w:numId w:val="1"/>
        </w:numPr>
        <w:rPr/>
      </w:pPr>
      <w:r>
        <w:rPr/>
        <w:t xml:space="preserve">During the Inspection Period, Seller hereby grants Buyer, Buyer’s agents and/or employees, access to the Property to make any and all inspections of the conditions of the Property they deem necessary.  </w:t>
      </w:r>
    </w:p>
    <w:p>
      <w:pPr>
        <w:pStyle w:val="TextBody"/>
        <w:numPr>
          <w:ilvl w:val="0"/>
          <w:numId w:val="1"/>
        </w:numPr>
        <w:rPr/>
      </w:pPr>
      <w:r>
        <w:rPr/>
        <w:t>Right to Terminate. Buyer may in his sole and absolute discretion terminate this Agreement (for any reason or no reason, and without regard to cause or reasonableness), by giving Seller written notice ("</w:t>
      </w:r>
      <w:r>
        <w:rPr>
          <w:b/>
          <w:bCs/>
        </w:rPr>
        <w:t>Termination Notice</w:t>
      </w:r>
      <w:r>
        <w:rPr/>
        <w:t>") at any time during the Inspection Period.  If Buyer terminates this Agreement, Buyer will be entitled to a return of the Deposit, provided that Buyer notifies Seller of its intent to terminate this Agreement by the expiration of the Inspection Period (the "</w:t>
      </w:r>
      <w:r>
        <w:rPr>
          <w:b/>
          <w:bCs/>
        </w:rPr>
        <w:t>Inspection Termination Date</w:t>
      </w:r>
      <w:r>
        <w:rPr/>
        <w:t>").</w:t>
      </w:r>
    </w:p>
    <w:p>
      <w:pPr>
        <w:pStyle w:val="TextBody"/>
        <w:numPr>
          <w:ilvl w:val="0"/>
          <w:numId w:val="1"/>
        </w:numPr>
        <w:rPr/>
      </w:pPr>
      <w:r>
        <w:rPr/>
        <w:t>Title Objections. With respect to flaws in the Seller's title to which the Buyer objects that are listed in the Commitment or which are shown in a survey which are of such a nature that the flaw(s) can not be cured by the simple payment of money prior to (or at) Closing and which would prevent the Seller from being able to convey marketable or insurable title, the Buyer shall notify Seller of such objections within 15 days of the expiration (or the Buyer's waiver) of the Inspection Period. In such case the Seller will either (i) attempt to cure or remove any such flaw(s) or (ii) notify Buyer no later than five (5) days after receipt of notice of such title flaws that Seller does not intend to cure or remove them. If the Seller opts to attempt to remove the flaw(s) the Seller shall notify the Buyer of this in writing and shall have 120 days from receipt of the Buyer's notice with which to attempt to do so (in which case the deadline for the Closing shall be extending accordingly). If Seller elects to not,  or is unable, to cause any such title flaws to be cured or removed the Buyer shall have the option of either accepting the title as is, or terminating this Agreement and both parties shall be released as to one another of all further obligations under this Agreement (any deposits shall be returned to the Buyer). If Seller cures or removes the objected to flaw(s), the Buyer shall notify its title agent so that the the Commitment and the survey can be updated to reflect such cure or removal.  After the Commitment and survey have been updated and the title flaw(s) are shown to no longer affect the marketability or insurability of the title this transaction shall proceed towards Closing pursuant to other provisions of this Agreement. Exceptions shown on the Commitment and survey that do not render the title unmarketable or uninsurable and which are not otherwise objected to by Buyer within the time limits specified in this paragraph shall deemed accepted by Buyer (the "</w:t>
      </w:r>
      <w:r>
        <w:rPr>
          <w:b/>
          <w:bCs/>
        </w:rPr>
        <w:t>Permitted Exceptions</w:t>
      </w:r>
      <w:r>
        <w:rPr/>
        <w:t xml:space="preserve">").  All expenses to clear title defects shall be paid by the Seller.  Unless otherwise agreed to by the Buyer, prior to or as of the Closing, the Seller shall to remove from record any mortgage, security interest or other monetary encumbrance affecting the Property Without Buyer being required to object, Seller shall be required to satisfy all recorded liens, encumbrances, and all unrecorded liens other than those expressly accepted by the Buyer. In addition, prior to closing, Seller will be required to close any open permits, except any open permits that Buyer has agreed shall remain open as of Closing, and Seller shall satisfy any cited governmental violations. Seller agrees that between the Effective Date and Closing, Seller will not cause any matter to arise or be imposed upon the Property affecting title thereto other than any documents expressly acceptable to the Buyer. </w:t>
      </w:r>
    </w:p>
    <w:p>
      <w:pPr>
        <w:pStyle w:val="TextBody"/>
        <w:numPr>
          <w:ilvl w:val="0"/>
          <w:numId w:val="1"/>
        </w:numPr>
        <w:rPr/>
      </w:pPr>
      <w:r>
        <w:rPr/>
        <w:t>Seller’s Representations, Warranties, and Covenants.  Seller hereby represents and warrants to Buyer as follows, with such representations, warranties, and covenants surviving the Closing for one year:</w:t>
      </w:r>
    </w:p>
    <w:p>
      <w:pPr>
        <w:pStyle w:val="TextBody"/>
        <w:numPr>
          <w:ilvl w:val="1"/>
          <w:numId w:val="1"/>
        </w:numPr>
        <w:rPr/>
      </w:pPr>
      <w:r>
        <w:rPr/>
        <w:t>Seller is a Florida &lt;&lt;**</w:t>
      </w:r>
      <w:r>
        <w:rPr>
          <w:highlight w:val="yellow"/>
        </w:rPr>
        <w:t>entity type</w:t>
      </w:r>
      <w:r>
        <w:rPr/>
        <w:t>**&gt;&gt;, in current active status, as such, Seller has full power and authority to execute, deliver and perform this Agreement and to consummate the transactions contemplated hereby, including the execution, delivery and performance of each of the documents required to be delivered by Seller to Buyer pursuant to this Agreement, and any and all other documents or instruments necessary or desirable to the consummation hereof.</w:t>
      </w:r>
    </w:p>
    <w:p>
      <w:pPr>
        <w:pStyle w:val="TextBody"/>
        <w:numPr>
          <w:ilvl w:val="1"/>
          <w:numId w:val="1"/>
        </w:numPr>
        <w:rPr/>
      </w:pPr>
      <w:r>
        <w:rPr/>
        <w:t>This Agreement has been, and the deed of conveyance and all other documents, instruments and agreements required to be delivered by Seller pursuant to or in connection with this Agreement will be when executed and delivered, duly authorized, executed and delivered by Seller and constitute the legal, valid and binding obligations of Seller enforceable in accordance with their respective terms. Neither the execution, delivery or performance of this Agreement, or any document, instrument or agreement required to be delivered by Seller pursuant hereto, nor the consummation of the transactions contemplated hereby, is prohibited by, or requires Seller to obtain the consents approval or authorization of, or notice to or filing or registration with, any Person having jurisdiction over the Property.</w:t>
      </w:r>
    </w:p>
    <w:p>
      <w:pPr>
        <w:pStyle w:val="TextBody"/>
        <w:numPr>
          <w:ilvl w:val="1"/>
          <w:numId w:val="1"/>
        </w:numPr>
        <w:rPr/>
      </w:pPr>
      <w:r>
        <w:rPr/>
        <w:t xml:space="preserve">Seller is not a foreign person or entity pursuant to the Foreign Investment in Real Property Tax Act, or the Tax Reform Act of 1986, and Buyer is not obligated to withhold portions of the Purchase Price for the benefit of the Internal Revenue Service. </w:t>
      </w:r>
    </w:p>
    <w:p>
      <w:pPr>
        <w:pStyle w:val="TextBody"/>
        <w:numPr>
          <w:ilvl w:val="1"/>
          <w:numId w:val="1"/>
        </w:numPr>
        <w:rPr/>
      </w:pPr>
      <w:r>
        <w:rPr/>
        <w:t>Seller has good, marketable, and insurable fee simple title to the Land and Improvements.</w:t>
      </w:r>
    </w:p>
    <w:p>
      <w:pPr>
        <w:pStyle w:val="TextBody"/>
        <w:numPr>
          <w:ilvl w:val="1"/>
          <w:numId w:val="1"/>
        </w:numPr>
        <w:rPr/>
      </w:pPr>
      <w:r>
        <w:rPr/>
        <w:t>There are no service contracts or agreements relating to the operation, maintenance, or security of the Property under which the Seller is bound and which will survive the closing.</w:t>
      </w:r>
    </w:p>
    <w:p>
      <w:pPr>
        <w:pStyle w:val="TextBody"/>
        <w:numPr>
          <w:ilvl w:val="1"/>
          <w:numId w:val="1"/>
        </w:numPr>
        <w:rPr/>
      </w:pPr>
      <w:r>
        <w:rPr/>
        <w:t>There are no parties in possession of the Property or of any part thereof except Seller and except tenants or occupants identified in Seller’s rent rolls or other due diligence materials provided to Buyer, which are in each instance consistent with the estoppels executed by the tenants or other occupants.  There are no lease renewal or extension rights other than as stated in the tenant estoppels.</w:t>
      </w:r>
    </w:p>
    <w:p>
      <w:pPr>
        <w:pStyle w:val="TextBody"/>
        <w:numPr>
          <w:ilvl w:val="1"/>
          <w:numId w:val="1"/>
        </w:numPr>
        <w:rPr/>
      </w:pPr>
      <w:r>
        <w:rPr/>
        <w:t>The execution and delivery by Seller of this Agreement and the performance by Seller hereunder do not and will not conflict with, or result in a breach of or a default or violation under, any contract, agreement or arrangement to which Seller is a party or any statute, decree, judgment, regulation, order or rule of any governmental authority having jurisdiction over Seller or the Property. Seller is not a party to any voluntary or involuntary proceedings under any applicable laws relating to the insolvency, bankruptcy, moratorium or other laws affecting creditors rights to the extent that such laws may be applicable to Seller or the Property.</w:t>
      </w:r>
    </w:p>
    <w:p>
      <w:pPr>
        <w:pStyle w:val="TextBody"/>
        <w:numPr>
          <w:ilvl w:val="1"/>
          <w:numId w:val="1"/>
        </w:numPr>
        <w:rPr/>
      </w:pPr>
      <w:r>
        <w:rPr/>
        <w:t xml:space="preserve">Except with respect to ad valorem real property taxes for the year of Closing which are not delinquent, there are no taxes or assessments required to be paid to any federal, state or local authority the non-payment of which heretofore could have resulted, or hereafter could result, in any lien or encumbrance upon any portion of the Property, or against Seller or Buyer as the owner thereof. There are no unpaid bills for labor, services or work performed or rendered upon the Property, or for materials or supplies furnished or delivered to the Property, which could result in the filing of mechanics,’ materialmen’s or laborers’ liens upon the Property. </w:t>
      </w:r>
    </w:p>
    <w:p>
      <w:pPr>
        <w:pStyle w:val="TextBody"/>
        <w:numPr>
          <w:ilvl w:val="1"/>
          <w:numId w:val="1"/>
        </w:numPr>
        <w:rPr/>
      </w:pPr>
      <w:r>
        <w:rPr/>
        <w:t>Seller has no notice or knowledge of (i) any Hazardous Substance present on or within the Property, or any present or past generation, recycling, reuse, sale, storage, handling, transport and/or disposal of any Hazardous Substance on or within the Property or (ii) any failure to comply with any applicable local, state or federal environmental laws, regulations, ordinances or administrative or judicial orders relating to the generation, recycling, reuse, sale, storage, handling, transport and/or disposal of any Hazardous Substance.</w:t>
      </w:r>
    </w:p>
    <w:p>
      <w:pPr>
        <w:pStyle w:val="TextBody"/>
        <w:numPr>
          <w:ilvl w:val="1"/>
          <w:numId w:val="1"/>
        </w:numPr>
        <w:rPr/>
      </w:pPr>
      <w:r>
        <w:rPr/>
        <w:t>Seller warrants that it has all Permits necessary to operate the Improvements. All of the Permits are transferable by Seller to Buyer or Buyer’s designee(s), are in good standing and not in default in any material respect, and, to the best of Seller’s knowledge, there is no event that has occurred which constitutes, or which with the passage of time or giving of notice, or both, would constitute a violation of or breach of any Permit, or which could deprive Buyer or its designee(s), after assignment thereof, of the exercise and enjoyment of all of the rights and privileges intended to be conferred by such Permit. There are no presently outstanding and uncured notices of any violations of any law with respect to the Land, and, to the best of Seller’s knowledge, no person capable of issuing such notice of violation has threatened to issue a notice of violations. Seller will be responsible for the payment or satisfaction of all violations existing as of the Closing Date.</w:t>
      </w:r>
    </w:p>
    <w:p>
      <w:pPr>
        <w:pStyle w:val="TextBody"/>
        <w:numPr>
          <w:ilvl w:val="1"/>
          <w:numId w:val="1"/>
        </w:numPr>
        <w:rPr/>
      </w:pPr>
      <w:r>
        <w:rPr/>
        <w:t>There are no actions, suits and proceedings pending, or, to the best of Seller’s knowledge, threatened, against or concerning any portion of the Property. Seller knows of no fact not recited in this Agreement which could provide a basis for an investigation, action, suit, dispute, proceeding or claim which would or could materially and adversely affect the Property or the ownership, use and/or development of any portion thereof. Neither the Property nor Seller are named a party to any continuing court or administrative order, writ, injunction or decree applicable to the Property or to the ownership, use and/or development of the Property. To the best of Seller’s knowledge, there are no outstanding judgments, orders, writs, injunctions or decrees of any federal, state, regional, local or other government department, commission, board, bureau, agency or instrumentality having jurisdiction over the Property which constitute or could constitute or impose a lien upon the Property, or which adversely affect the ownership, use and/or development of the Property or any portion thereof. Seller has received no notice of any pending or threatened condemnation, taking or similar proceeding affecting the Property or any portion thereof, or any pending public improvements in or about any portion of the Property which could result in, nor has Seller received any notice of, special assessments or any re-assessments against or affecting any of the Land.</w:t>
      </w:r>
    </w:p>
    <w:p>
      <w:pPr>
        <w:pStyle w:val="TextBody"/>
        <w:numPr>
          <w:ilvl w:val="1"/>
          <w:numId w:val="1"/>
        </w:numPr>
        <w:rPr/>
      </w:pPr>
      <w:r>
        <w:rPr/>
        <w:t xml:space="preserve">Pending Closing, Seller will continue to operate and maintain the Property in the ordinary course of business as presently operated. </w:t>
      </w:r>
    </w:p>
    <w:p>
      <w:pPr>
        <w:pStyle w:val="TextBody"/>
        <w:numPr>
          <w:ilvl w:val="1"/>
          <w:numId w:val="1"/>
        </w:numPr>
        <w:rPr/>
      </w:pPr>
      <w:r>
        <w:rPr/>
        <w:t>Prior to the Closing, Seller will comply with and abide by all of the covenants, conditions and requirements set forth or imposed by, related to or arising out of all statutes, laws, ordinances, rules, regulations and Permits and will perform all acts required to be performed fully and promptly. Neither Seller, nor any Person claiming by, through or under Seller, will apply for or seek to obtain any modification or amendment to, or release from, any statute, law, ordinance, rule, regulation or Permit applicable to the Property if the granting of such modification, amendment or release could have a materially adverse impact or effect upon the Property, or the use and development thereof, by Buyer or any Person claiming by, through or under Buyer, unless Seller first obtains the specific prior written consent of Buyer.</w:t>
      </w:r>
    </w:p>
    <w:p>
      <w:pPr>
        <w:pStyle w:val="TextBody"/>
        <w:numPr>
          <w:ilvl w:val="1"/>
          <w:numId w:val="1"/>
        </w:numPr>
        <w:rPr/>
      </w:pPr>
      <w:r>
        <w:rPr/>
        <w:t>Prior to Closing, in the event that Seller receives any notice from the County or any other governmental or quasi-governmental authority having jurisdiction over the Property, of a violation or alleged violation of any statute, law, ordinance, rule, permit, regulation or agreement governing the ownership, planning, development, construction, occupancy, use or maintenance of any portion of the Property, or of any Permit, approval or authorization issued in connection therewith or of any contemplated or pending investigation with respect thereto, or regarding Hazardous Substances, Seller promptly will deliver a copy of such notice to Buyer. If such violation materially affects the intended Development, and such violation is not resolved within thirty (30) days of notice thereof, Buyer shall be entitled to terminate this Agreement and receive a return of its Deposit.</w:t>
      </w:r>
    </w:p>
    <w:p>
      <w:pPr>
        <w:pStyle w:val="TextBody"/>
        <w:numPr>
          <w:ilvl w:val="1"/>
          <w:numId w:val="1"/>
        </w:numPr>
        <w:rPr/>
      </w:pPr>
      <w:r>
        <w:rPr/>
        <w:t>Prior to Closing, Seller will maintain the Property diligently and in good faith and will make a diligent and reasonable good faith effort to deliver the Property at Closing in a clean, garbage free, state of condition and repair. Seller will not perform or allow the performance of any construction on the Property (except in the event of an emergency, notice of which will be promptly given to Buyer).</w:t>
      </w:r>
    </w:p>
    <w:p>
      <w:pPr>
        <w:pStyle w:val="TextBody"/>
        <w:numPr>
          <w:ilvl w:val="1"/>
          <w:numId w:val="1"/>
        </w:numPr>
        <w:rPr/>
      </w:pPr>
      <w:r>
        <w:rPr/>
        <w:t>From and after the Effective Date, Seller will not make or permit any amendment or modification to any existing, or enter into any new, Contract or Lease affecting the Property (including, without limitation, any rent increase), and will not intentionally do any act or omit to do any act that will cause a breach of any Contract or Lease, without Buyer’s express prior written consent. In no event shall Seller enter into any new contract, lease or other agreement which would be binding on Buyer after the Closing, without Buyer’s express prior written consent.</w:t>
      </w:r>
    </w:p>
    <w:p>
      <w:pPr>
        <w:pStyle w:val="TextBody"/>
        <w:numPr>
          <w:ilvl w:val="0"/>
          <w:numId w:val="1"/>
        </w:numPr>
        <w:rPr/>
      </w:pPr>
      <w:r>
        <w:rPr/>
        <w:t>Conditions Precedent to Closing.</w:t>
      </w:r>
    </w:p>
    <w:p>
      <w:pPr>
        <w:pStyle w:val="TextBody"/>
        <w:numPr>
          <w:ilvl w:val="1"/>
          <w:numId w:val="1"/>
        </w:numPr>
        <w:rPr/>
      </w:pPr>
      <w:r>
        <w:rPr/>
        <w:t>Buyer Conditions. The obligation of Buyer to close the transaction which is the subject of this Agreement is subject to the fulfillment as of the Closing Date of each of the following conditions, unless any unfulfilled condition is specifically and expressly waived in writing by Buyer:</w:t>
      </w:r>
    </w:p>
    <w:p>
      <w:pPr>
        <w:pStyle w:val="TextBody"/>
        <w:numPr>
          <w:ilvl w:val="2"/>
          <w:numId w:val="1"/>
        </w:numPr>
        <w:rPr/>
      </w:pPr>
      <w:r>
        <w:rPr/>
        <w:t>Correctness of Seller’s Representations and Warranties. Each of the representations and warranties of Seller set forth in this Agreement will have been true and complete in all material respects when made and will be true and correct in all material respects on the Closing Date as if made on and as of the Closing Date.</w:t>
      </w:r>
    </w:p>
    <w:p>
      <w:pPr>
        <w:pStyle w:val="TextBody"/>
        <w:numPr>
          <w:ilvl w:val="2"/>
          <w:numId w:val="1"/>
        </w:numPr>
        <w:rPr/>
      </w:pPr>
      <w:r>
        <w:rPr/>
        <w:t>Condition of Property. Seller will have maintained the Property diligently and in good faith and will have used its best efforts to preserve the Property in the same state of condition and repair as exists on the Inspection Termination Date. If, during the Inspection Period or, if applicable, Extension Period, Buyer has obtained a Phase I or Phase II environmental assessment of the Property, any update of such assessment(s) as of a date within thirty (30) days of the Closing Date will indicate that there is no material change in the environmental condition of the Property since the effective date of the original assessment(s).</w:t>
      </w:r>
    </w:p>
    <w:p>
      <w:pPr>
        <w:pStyle w:val="TextBody"/>
        <w:numPr>
          <w:ilvl w:val="2"/>
          <w:numId w:val="1"/>
        </w:numPr>
        <w:rPr/>
      </w:pPr>
      <w:r>
        <w:rPr/>
        <w:t>Compliance by Seller with Agreement. Seller will have performed and complied in all respects with all agreements, undertakings and obligations which are required to be performed by Seller or by which Seller are required to comply at or prior to the Closing.</w:t>
      </w:r>
    </w:p>
    <w:p>
      <w:pPr>
        <w:pStyle w:val="TextBody"/>
        <w:numPr>
          <w:ilvl w:val="1"/>
          <w:numId w:val="1"/>
        </w:numPr>
        <w:rPr/>
      </w:pPr>
      <w:r>
        <w:rPr/>
        <w:t>Seller’s Conditions. The obligation of Seller to close the transaction which is the subject of this Agreement is subject to the fulfillment as of the Closing Date of each of the following conditions, unless any unfulfilled condition is specifically and expressly waived in writing by Seller:</w:t>
      </w:r>
    </w:p>
    <w:p>
      <w:pPr>
        <w:pStyle w:val="TextBody"/>
        <w:numPr>
          <w:ilvl w:val="2"/>
          <w:numId w:val="1"/>
        </w:numPr>
        <w:rPr/>
      </w:pPr>
      <w:r>
        <w:rPr/>
        <w:t>Compliance by Buyer with Agreement. Buyer will have performed and complied in all material respects with all agreements, undertakings and obligations which are required to be performed by Buyer or by which Buyer is required to comply at or prior to the Closing.</w:t>
      </w:r>
    </w:p>
    <w:p>
      <w:pPr>
        <w:pStyle w:val="TextBody"/>
        <w:numPr>
          <w:ilvl w:val="2"/>
          <w:numId w:val="1"/>
        </w:numPr>
        <w:rPr/>
      </w:pPr>
      <w:r>
        <w:rPr/>
        <w:t>Document Deliveries. Buyer will deliver at Closing all documents and other items specified in this Agreement.</w:t>
      </w:r>
    </w:p>
    <w:p>
      <w:pPr>
        <w:pStyle w:val="TextBody"/>
        <w:numPr>
          <w:ilvl w:val="0"/>
          <w:numId w:val="1"/>
        </w:numPr>
        <w:rPr/>
      </w:pPr>
      <w:r>
        <w:rPr/>
        <w:t xml:space="preserve">Failure of Condition(s). If any condition(s) precedent set forth in this Agreement are not satisfied as of the date specified for satisfaction, the party whose obligation to close is conditioned thereon may, in its sole and complete discretion, either (i) waive satisfaction of such condition(s) and proceed to Closing or (ii) declare the failure of such condition to be satisfied a deemed default by the other party, and proceed in accordance with Paragraphs 21 and 22 of this Agreement, respectively. </w:t>
      </w:r>
    </w:p>
    <w:p>
      <w:pPr>
        <w:pStyle w:val="TextBody"/>
        <w:numPr>
          <w:ilvl w:val="0"/>
          <w:numId w:val="1"/>
        </w:numPr>
        <w:rPr/>
      </w:pPr>
      <w:r>
        <w:rPr/>
        <w:t>Closing.  Unless this Agreement is terminated as provided herein, consummation of the Purchase and Sale Agreement (the "</w:t>
      </w:r>
      <w:r>
        <w:rPr>
          <w:b/>
          <w:bCs/>
        </w:rPr>
        <w:t>Closing</w:t>
      </w:r>
      <w:r>
        <w:rPr/>
        <w:t xml:space="preserve">") will occur through an escrow established by the Escrow Agent.  At Closing, which will be within 30 days following expiration of the Inspection Period, Buyer will take title to the Property subject to the Permitted Exceptions.  At Closing, Buyer will deliver to the Escrow Agent for distribution to Seller the Purchase Price, which shall be in U.S. dollars and shall be in the form of a check or wire transfer of immediately available funds at Seller’s option.  The Deposit and interest earned thereon if any, shall be applied toward the Purchase Price at Closing. </w:t>
      </w:r>
    </w:p>
    <w:p>
      <w:pPr>
        <w:pStyle w:val="TextBody"/>
        <w:numPr>
          <w:ilvl w:val="0"/>
          <w:numId w:val="1"/>
        </w:numPr>
        <w:rPr/>
      </w:pPr>
      <w:r>
        <w:rPr/>
        <w:t>Closing Expenses. At or before Closing:</w:t>
      </w:r>
    </w:p>
    <w:p>
      <w:pPr>
        <w:pStyle w:val="TextBody"/>
        <w:numPr>
          <w:ilvl w:val="1"/>
          <w:numId w:val="1"/>
        </w:numPr>
        <w:rPr/>
      </w:pPr>
      <w:r>
        <w:rPr/>
        <w:t>Seller will pay the title search fee, the cost of recording any corrective instruments, the cost of recording the conveyance documents from Seller to Buyer and the cost of documentary tax and surtax stamps due on the Deed of conveyance;</w:t>
      </w:r>
    </w:p>
    <w:p>
      <w:pPr>
        <w:pStyle w:val="TextBody"/>
        <w:numPr>
          <w:ilvl w:val="1"/>
          <w:numId w:val="1"/>
        </w:numPr>
        <w:rPr/>
      </w:pPr>
      <w:r>
        <w:rPr/>
        <w:t>Buyer will pay the cost of the Survey and the premium for the Owner’s Title Policy; and</w:t>
      </w:r>
    </w:p>
    <w:p>
      <w:pPr>
        <w:pStyle w:val="TextBody"/>
        <w:numPr>
          <w:ilvl w:val="1"/>
          <w:numId w:val="1"/>
        </w:numPr>
        <w:rPr/>
      </w:pPr>
      <w:r>
        <w:rPr/>
        <w:t>Each party will pay any fees due to its attorneys or other consultants.</w:t>
      </w:r>
    </w:p>
    <w:p>
      <w:pPr>
        <w:pStyle w:val="TextBody"/>
        <w:numPr>
          <w:ilvl w:val="0"/>
          <w:numId w:val="1"/>
        </w:numPr>
        <w:rPr/>
      </w:pPr>
      <w:r>
        <w:rPr/>
        <w:t>Delivery of Documents by Seller. At the Closing, in addition to any other documents specifically required to be delivered or acts required to be done pursuant to this Agreement, Seller will deliver or cause to be delivered to Buyer the following (all of which will be in form reasonably acceptable to Buyer):</w:t>
      </w:r>
    </w:p>
    <w:p>
      <w:pPr>
        <w:pStyle w:val="TextBody"/>
        <w:numPr>
          <w:ilvl w:val="1"/>
          <w:numId w:val="1"/>
        </w:numPr>
        <w:rPr/>
      </w:pPr>
      <w:r>
        <w:rPr/>
        <w:t>statutory warranty deed in compliance with Florida law, conveying to Buyer indefeasible, marketable and insurable fee simple title to the Land and Improvements, free and clear of all liens and encumbrances except taxes for the year of closing and subsequent years and the Permitted Exceptions;</w:t>
      </w:r>
    </w:p>
    <w:p>
      <w:pPr>
        <w:pStyle w:val="TextBody"/>
        <w:numPr>
          <w:ilvl w:val="1"/>
          <w:numId w:val="1"/>
        </w:numPr>
        <w:rPr/>
      </w:pPr>
      <w:r>
        <w:rPr/>
        <w:t>an absolute bill of sale with respect to the Personal Property;</w:t>
      </w:r>
    </w:p>
    <w:p>
      <w:pPr>
        <w:pStyle w:val="TextBody"/>
        <w:numPr>
          <w:ilvl w:val="1"/>
          <w:numId w:val="1"/>
        </w:numPr>
        <w:rPr/>
      </w:pPr>
      <w:r>
        <w:rPr/>
        <w:t>an assignment of the Proprietary Rights, Permits, Leases and such Contracts as Buyer elects, in its sole discretion, to accept.</w:t>
      </w:r>
    </w:p>
    <w:p>
      <w:pPr>
        <w:pStyle w:val="TextBody"/>
        <w:numPr>
          <w:ilvl w:val="1"/>
          <w:numId w:val="1"/>
        </w:numPr>
        <w:rPr/>
      </w:pPr>
      <w:r>
        <w:rPr/>
        <w:t>certified copies of resolutions of the Seller authorizing the execution and delivery of this Agreement and the consummation of the transactions contemplated hereby;</w:t>
      </w:r>
    </w:p>
    <w:p>
      <w:pPr>
        <w:pStyle w:val="TextBody"/>
        <w:numPr>
          <w:ilvl w:val="1"/>
          <w:numId w:val="1"/>
        </w:numPr>
        <w:rPr/>
      </w:pPr>
      <w:r>
        <w:rPr/>
        <w:t>an affidavit of Seller dated as of the Closing Date, which (i) certifies that (A) the representations and warranties of Seller contained in this Agreement are true on and as of the Closing Date in all material respects with the same effect as if said representations and warranties were made on and as of the Closing Date; (B) there are no unpaid bills for labor, materials or services to the Property, and no labor, services or materials have been undertaken or supplied to the Property, by or upon order of Seller or its agents which could be the basis for any claims against the Property; and (C) no Person other than Buyer has any right or claim to possession of the Property, and (ii) contains such other certifications and undertakings as are customarily required to induce the Underwriter to issue the Closing Commitment to Buyer at Closing;</w:t>
      </w:r>
    </w:p>
    <w:p>
      <w:pPr>
        <w:pStyle w:val="TextBody"/>
        <w:numPr>
          <w:ilvl w:val="1"/>
          <w:numId w:val="1"/>
        </w:numPr>
        <w:rPr/>
      </w:pPr>
      <w:r>
        <w:rPr/>
        <w:t>an affidavit complying with the provisions of Section 1445(b)(2) of the Internal Revenue Code of 1954, as amended, that Seller is not a "</w:t>
      </w:r>
      <w:r>
        <w:rPr>
          <w:b/>
          <w:bCs/>
        </w:rPr>
        <w:t>foreign person</w:t>
      </w:r>
      <w:r>
        <w:rPr/>
        <w:t>";</w:t>
      </w:r>
    </w:p>
    <w:p>
      <w:pPr>
        <w:pStyle w:val="TextBody"/>
        <w:numPr>
          <w:ilvl w:val="1"/>
          <w:numId w:val="1"/>
        </w:numPr>
        <w:rPr/>
      </w:pPr>
      <w:r>
        <w:rPr/>
        <w:t>updated lists of Permits, Personal Property, Contracts and Leases dated as of the Closing Date and sworn and certified by Seller to be accurate in all respects (which updated lists must reflect compliance with the terms and provisions of this Agreement); and</w:t>
      </w:r>
    </w:p>
    <w:p>
      <w:pPr>
        <w:pStyle w:val="TextBody"/>
        <w:numPr>
          <w:ilvl w:val="1"/>
          <w:numId w:val="1"/>
        </w:numPr>
        <w:rPr/>
      </w:pPr>
      <w:r>
        <w:rPr/>
        <w:t>the originals of all Permits, Contracts (other than those which Buyer has elected not to accept) and Leases.</w:t>
      </w:r>
    </w:p>
    <w:p>
      <w:pPr>
        <w:pStyle w:val="TextBody"/>
        <w:numPr>
          <w:ilvl w:val="1"/>
          <w:numId w:val="1"/>
        </w:numPr>
        <w:rPr/>
      </w:pPr>
      <w:r>
        <w:rPr/>
        <w:t>any pre-paid rents for periods after Closing and all security deposits pertaining to leases or occupancy agreements.</w:t>
      </w:r>
    </w:p>
    <w:p>
      <w:pPr>
        <w:pStyle w:val="TextBody"/>
        <w:numPr>
          <w:ilvl w:val="0"/>
          <w:numId w:val="1"/>
        </w:numPr>
        <w:rPr/>
      </w:pPr>
      <w:r>
        <w:rPr/>
        <w:t>Delivery by Buyer. At Closing, in addition to any documents or other items specifically required to be delivered or required to be done pursuant to this Agreement, Buyer will deliver or cause to be delivered to Seller:</w:t>
      </w:r>
    </w:p>
    <w:p>
      <w:pPr>
        <w:pStyle w:val="TextBody"/>
        <w:numPr>
          <w:ilvl w:val="1"/>
          <w:numId w:val="1"/>
        </w:numPr>
        <w:rPr/>
      </w:pPr>
      <w:r>
        <w:rPr/>
        <w:t>the balance of the Purchase Price as described in Paragraph 3 above;</w:t>
      </w:r>
    </w:p>
    <w:p>
      <w:pPr>
        <w:pStyle w:val="TextBody"/>
        <w:numPr>
          <w:ilvl w:val="1"/>
          <w:numId w:val="1"/>
        </w:numPr>
        <w:rPr/>
      </w:pPr>
      <w:r>
        <w:rPr/>
        <w:t>certified copies of resolutions of the Buyer authorizing the execution and delivery of this Agreement and the consummation of the transactions contemplated hereby;</w:t>
      </w:r>
    </w:p>
    <w:p>
      <w:pPr>
        <w:pStyle w:val="TextBody"/>
        <w:numPr>
          <w:ilvl w:val="1"/>
          <w:numId w:val="1"/>
        </w:numPr>
        <w:rPr/>
      </w:pPr>
      <w:r>
        <w:rPr/>
        <w:t>a closing statement and such other documents as may be reasonably necessary to consummate the Closing.</w:t>
      </w:r>
    </w:p>
    <w:p>
      <w:pPr>
        <w:pStyle w:val="TextBody"/>
        <w:numPr>
          <w:ilvl w:val="0"/>
          <w:numId w:val="1"/>
        </w:numPr>
        <w:rPr/>
      </w:pPr>
      <w:r>
        <w:rPr/>
        <w:t xml:space="preserve">Proceeds of Sale; Closing Procedure. The Deed shall be recorded upon clearance of funds and evidence of title continued at Buyer's expense, to show title in Buyer, without any encumbrances or change which would render Seller's title unmarketable from the date of the last evidence, and the proceeds of the sale shall be held in escrow by the Seller's attorney or by such other escrow agent as may be mutually agreed upon for a period of not longer than five (5) Business Days from and after closing date.  If Seller's title is rendered unmarketable, Buyer shall within said five (5) day period, notify Seller in writing of the defect and the Seller shall have 30 days from the date of receipt of such notification to cure said defect.  In the event that Seller fails to timely cure said defect, all monies paid hereunder shall, upon written demand therefor and within five (5) Business Days thereafter, be returned to Buyer and, simultaneously with such repayment, Buyer shall vacate the Property and reconvey the same to the Seller by statutory warranty deed and return the Personalty.  In the event that the Buyer fails to make timely demand for a refund, Buyer shall take title as is, waiving all rights against the Seller as to such intervening defect except as may be available to Buyer by virtue of warranties, if any, contained in the Deed.  In the event a portion of the purchase price is to be derived from institutional financing or refinancing, the requirements of the lending institution as to place, time of day, and procedures for closing, and for disbursement of mortgage proceeds, shall control anything in this Agreement to the contrary notwithstanding.  Provided, however, that the Seller shall have the right to require from such lending institution at closing a commitment that it will not withhold disbursement of mortgage proceeds as a result of any title defect attributable to the Buyer-mortgagor. </w:t>
      </w:r>
    </w:p>
    <w:p>
      <w:pPr>
        <w:pStyle w:val="TextBody"/>
        <w:numPr>
          <w:ilvl w:val="0"/>
          <w:numId w:val="1"/>
        </w:numPr>
        <w:rPr/>
      </w:pPr>
      <w:r>
        <w:rPr/>
        <w:t>Prorations. Except as otherwise specifically set forth in this Agreement, all revenues, expenses (excluding insurance costs and premiums unless Buyer specifically elects to assume Seller’s existing insurance coverage), deposits, impounds and similar items receivable or payable in connection with the ownership and operation of the Property, including the following items, will be prorated as of 12:01 A.M. on the Closing Date, on the basis of the actual number of days of ownership of the Property by Buyer and Seller relative to the applicable period:</w:t>
      </w:r>
    </w:p>
    <w:p>
      <w:pPr>
        <w:pStyle w:val="TextBody"/>
        <w:numPr>
          <w:ilvl w:val="1"/>
          <w:numId w:val="1"/>
        </w:numPr>
        <w:rPr/>
      </w:pPr>
      <w:r>
        <w:rPr/>
        <w:t>Real Property Taxes. Ad valorem property taxes affecting or related to the Property will be prorated on the basis of actual taxes for the year of Closing, if known, or otherwise on the basis of ad valorem property taxes for the immediately preceding year subject to reproration at the request of either party when the actual tax bill for the year of Closing is available. Seller agrees to pay for any and all prior year ad valorem property taxes affecting or related to the Property. Special assessment liens certified, or for which the work has been substantially completed, as of the Agreement Date will be paid by Seller, and any other pending assessments will be assumed by Buyer.</w:t>
      </w:r>
    </w:p>
    <w:p>
      <w:pPr>
        <w:pStyle w:val="TextBody"/>
        <w:numPr>
          <w:ilvl w:val="1"/>
          <w:numId w:val="1"/>
        </w:numPr>
        <w:rPr/>
      </w:pPr>
      <w:r>
        <w:rPr/>
        <w:t>Utilities. Amounts due for all electric, gas, sewer, water, telephone, trash collection and other utilities for the period prior to Closing will be determined when the actual bills have been received. All sums due will be paid by debit or credit at Closing or remitted to the party to whom due within ten (10) days after receipt of notice of the amount due, including a copy of the applicable billing statement. Seller will retain the right to a refund of any service deposits paid by Seller, and will notify any applicable utility provider to transfer Seller’s account to Buyer as of the Closing Date.</w:t>
      </w:r>
    </w:p>
    <w:p>
      <w:pPr>
        <w:pStyle w:val="TextBody"/>
        <w:numPr>
          <w:ilvl w:val="1"/>
          <w:numId w:val="1"/>
        </w:numPr>
        <w:rPr/>
      </w:pPr>
      <w:r>
        <w:rPr/>
        <w:t>Contracts. All amounts due or payable under Contracts which Buyer has elected to accept.</w:t>
      </w:r>
    </w:p>
    <w:p>
      <w:pPr>
        <w:pStyle w:val="TextBody"/>
        <w:numPr>
          <w:ilvl w:val="0"/>
          <w:numId w:val="1"/>
        </w:numPr>
        <w:rPr/>
      </w:pPr>
      <w:r>
        <w:rPr/>
        <w:t>Brokers. &lt;&lt;</w:t>
      </w:r>
      <w:r>
        <w:rPr>
          <w:highlight w:val="yellow"/>
        </w:rPr>
        <w:t>delete if no brokers</w:t>
      </w:r>
      <w:r>
        <w:rPr/>
        <w:t xml:space="preserve">&gt;&gt; Seller agrees to pay a brokerage commission in the amount of  </w:t>
      </w:r>
      <w:r>
        <w:rPr>
          <w:highlight w:val="yellow"/>
        </w:rPr>
        <w:t>______</w:t>
      </w:r>
      <w:r>
        <w:rPr/>
        <w:t xml:space="preserve">  percent (_</w:t>
      </w:r>
      <w:r>
        <w:rPr>
          <w:highlight w:val="yellow"/>
        </w:rPr>
        <w:t>__</w:t>
      </w:r>
      <w:r>
        <w:rPr/>
        <w:t>%) of the Purchase Price to &lt;&lt;</w:t>
      </w:r>
      <w:r>
        <w:rPr>
          <w:highlight w:val="yellow"/>
        </w:rPr>
        <w:t>enter name of broker</w:t>
      </w:r>
      <w:r>
        <w:rPr/>
        <w:t>&gt;&gt;</w:t>
      </w:r>
    </w:p>
    <w:p>
      <w:pPr>
        <w:pStyle w:val="TextBody"/>
        <w:numPr>
          <w:ilvl w:val="0"/>
          <w:numId w:val="1"/>
        </w:numPr>
        <w:rPr/>
      </w:pPr>
      <w:r>
        <w:rPr/>
        <w:t>Buyer’s Default. If Buyer fails or refuses to close the transaction contemplated herein, Seller’s sole remedy will be to terminate this Agreement and receive the Deposit; and thereafter this Agreement will be null and void and the parties hereto will have no further rights or obligations hereunder.</w:t>
      </w:r>
    </w:p>
    <w:p>
      <w:pPr>
        <w:pStyle w:val="TextBody"/>
        <w:numPr>
          <w:ilvl w:val="0"/>
          <w:numId w:val="1"/>
        </w:numPr>
        <w:rPr/>
      </w:pPr>
      <w:r>
        <w:rPr/>
        <w:t xml:space="preserve">Seller’s Default. If, at or prior to Closing, Seller fails or refuses to perform any of Seller’s obligations under this Agreement, Buyer may (i) terminate this Agreement, in which event the Deposit will be returned to Buyer and this Agreement will be null and void and the parties hereto will have no further rights or obligations hereunder or (ii) maintain an action for specific performance of the terms of this Agreement. </w:t>
      </w:r>
    </w:p>
    <w:p>
      <w:pPr>
        <w:pStyle w:val="TextBody"/>
        <w:numPr>
          <w:ilvl w:val="0"/>
          <w:numId w:val="1"/>
        </w:numPr>
        <w:rPr/>
      </w:pPr>
      <w:r>
        <w:rPr/>
        <w:t>Casualty. If, at or prior to Closing, all or any material part of the Improvements is damaged or destroyed, Buyer may either (a) proceed to close notwithstanding the damage or destruction, in which event Seller will assign to Buyer its interest in all insurance proceeds with respect to such damage or destruction or (b) terminate this Agreement by delivering written notice to Seller; provided, however, Seller will provide prompt written notice to Buyer of the occurrence of such casualty and an estimate (based on information reasonably satisfactory to Buyer) of the damage and available insurance proceeds and Buyer will have not less than ten (10) Business Days after Buyer receives such notice to determine whether to proceed.</w:t>
      </w:r>
    </w:p>
    <w:p>
      <w:pPr>
        <w:pStyle w:val="TextBody"/>
        <w:numPr>
          <w:ilvl w:val="0"/>
          <w:numId w:val="1"/>
        </w:numPr>
        <w:rPr/>
      </w:pPr>
      <w:r>
        <w:rPr/>
        <w:t>Condemnation. If, at or prior to Closing, all or any material part of the Improvements is taken by eminent domain, Buyer may either (a) proceed to close notwithstanding the eminent domain, in which event Seller will assign to Buyer its interest in any condemnation award or (b) terminate this Agreement by delivering written notice to Seller; provided, however, Seller will provide prompt written notice to Buyer of the occurrence of such taking and an estimate (based on information reasonably satisfactory to Buyer) of the available awards and Buyer will have not less than ten (10) Business Days after Buyer receives such notice to determine whether to proceed.</w:t>
      </w:r>
    </w:p>
    <w:p>
      <w:pPr>
        <w:pStyle w:val="TextBody"/>
        <w:numPr>
          <w:ilvl w:val="0"/>
          <w:numId w:val="1"/>
        </w:numPr>
        <w:rPr/>
      </w:pPr>
      <w:r>
        <w:rPr/>
        <w:t xml:space="preserve">Insurance. Until the Closing, Seller agrees to maintain in full force and effect its existing fire and extended coverage, public liability, business interruption and other insurance in effect as of the date of this Agreement.  Seller will have the right to cancel the same effective as of the Closing and will retain prepaid premiums.  A schedule of all insurance policies currently in place with respect to the Property, identifying the carrier and the amount of each insurance policy, will be provided to Buyer on or before five (5) business days after the Effective Date. Seller will notify Buyer of any insurance claims of which Seller becomes aware that are made during the period beginning on the last day of the Review Period and ending on the Closing Date. </w:t>
      </w:r>
    </w:p>
    <w:p>
      <w:pPr>
        <w:pStyle w:val="TextBody"/>
        <w:numPr>
          <w:ilvl w:val="0"/>
          <w:numId w:val="1"/>
        </w:numPr>
        <w:rPr/>
      </w:pPr>
      <w:r>
        <w:rPr/>
        <w:t xml:space="preserve">Miscellaneous Provisions. </w:t>
      </w:r>
    </w:p>
    <w:p>
      <w:pPr>
        <w:pStyle w:val="TextBody"/>
        <w:numPr>
          <w:ilvl w:val="1"/>
          <w:numId w:val="1"/>
        </w:numPr>
        <w:rPr/>
      </w:pPr>
      <w:r>
        <w:rPr/>
        <w:t>Litigation. In the event of any litigation between Seller and Buyer concerning the terms of this Agreement, the prevailing party will be entitled to reimbursement of its costs and expenses, including reasonable attorneys’ and paralegals’ fees, incurred in trial, appellate and post judgment proceedings.</w:t>
      </w:r>
    </w:p>
    <w:p>
      <w:pPr>
        <w:pStyle w:val="TextBody"/>
        <w:numPr>
          <w:ilvl w:val="1"/>
          <w:numId w:val="1"/>
        </w:numPr>
        <w:rPr/>
      </w:pPr>
      <w:r>
        <w:rPr/>
        <w:t xml:space="preserve">Obligations of Escrow Agent. Seller and Buyer acknowledge that Escrow Agent undertakes hereunder to perform only such duties as are expressly set forth herein and no implied duties or obligations will be inferred against Escrow Agent. </w:t>
      </w:r>
    </w:p>
    <w:p>
      <w:pPr>
        <w:pStyle w:val="TextBody"/>
        <w:numPr>
          <w:ilvl w:val="1"/>
          <w:numId w:val="1"/>
        </w:numPr>
        <w:rPr/>
      </w:pPr>
      <w:r>
        <w:rPr/>
        <w:t>Escrow Agent may act in reliance upon any writing or instrument or signature which it, in good faith, believes to be genuine, assume the validity and accuracy of any statement or assertion contained in such a writing or instrument, and assume that any person purporting to give any writing, notice, advice or instruction in connection with the provisions hereof has been duly authorized to do so.</w:t>
      </w:r>
    </w:p>
    <w:p>
      <w:pPr>
        <w:pStyle w:val="TextBody"/>
        <w:numPr>
          <w:ilvl w:val="1"/>
          <w:numId w:val="1"/>
        </w:numPr>
        <w:rPr/>
      </w:pPr>
      <w:r>
        <w:rPr/>
        <w:t>Seller and Buyer agree, jointly and severally, to indemnify and hold harmless Escrow Agent from and against any and all claims, liabilities, losses, actions, suits or proceedings at law or in equity, or any other expenses, fees or charges of any character or nature whatsoever, which Escrow Agent may incur or with which it may be threatened solely by reason of its acting as escrow agent hereunder, except to the extent resulting from Escrow Agent’s gross negligence, fraud or intentional misconduct; and in connection therewith, to indemnify Escrow Agent against any and all expenses, including reasonable attorneys’ fees and the cost of defending any action, suit or proceedings or resisting any claim (including, without limitation, fees for services rendered by Escrow Agent’s constituent attorneys and paralegals); provided, however, that if such expenses are incurred by Escrow Agent in connection with litigation between Seller and Buyer, the responsibility for indemnifying Escrow Agent for such expenses will belong solely to the non-prevailing party.</w:t>
      </w:r>
    </w:p>
    <w:p>
      <w:pPr>
        <w:pStyle w:val="TextBody"/>
        <w:numPr>
          <w:ilvl w:val="1"/>
          <w:numId w:val="1"/>
        </w:numPr>
        <w:rPr/>
      </w:pPr>
      <w:r>
        <w:rPr/>
        <w:t>Notices. Notices required or permitted to be given pursuant to the terms of this Agreement will be delivered in person or by facsimile transmission, (provided the original notice is delivered in person or by mail or delivery service as set forth herein) or sent by certified mail, return receipt requested, postage prepaid, by recognized contract carrier providing signed receipt for delivery, and will be deemed delivered upon receipt or refusal of delivery.  26. Either party may change the address to which notices should be directed, by giving 10 days’ notice of the change to the other party.  Notices will be delivered at the following addresses, subject to the right of any party to change the address at which it is to receive notice by written notice to the other party:</w:t>
      </w:r>
    </w:p>
    <w:p>
      <w:pPr>
        <w:pStyle w:val="TextBody"/>
        <w:numPr>
          <w:ilvl w:val="1"/>
          <w:numId w:val="1"/>
        </w:numPr>
        <w:rPr>
          <w:b/>
          <w:b/>
          <w:szCs w:val="24"/>
        </w:rPr>
      </w:pPr>
      <w:r>
        <w:rPr>
          <w:b/>
          <w:szCs w:val="24"/>
        </w:rPr>
      </w:r>
    </w:p>
    <w:tbl>
      <w:tblPr>
        <w:tblW w:w="8082" w:type="dxa"/>
        <w:jc w:val="left"/>
        <w:tblInd w:w="1336" w:type="dxa"/>
        <w:tblCellMar>
          <w:top w:w="55" w:type="dxa"/>
          <w:left w:w="55" w:type="dxa"/>
          <w:bottom w:w="55" w:type="dxa"/>
          <w:right w:w="55" w:type="dxa"/>
        </w:tblCellMar>
      </w:tblPr>
      <w:tblGrid>
        <w:gridCol w:w="2676"/>
        <w:gridCol w:w="780"/>
        <w:gridCol w:w="4626"/>
      </w:tblGrid>
      <w:tr>
        <w:trPr/>
        <w:tc>
          <w:tcPr>
            <w:tcW w:w="2676" w:type="dxa"/>
            <w:tcBorders/>
            <w:shd w:fill="auto" w:val="clear"/>
          </w:tcPr>
          <w:p>
            <w:pPr>
              <w:pStyle w:val="Normal"/>
              <w:widowControl w:val="false"/>
              <w:spacing w:lineRule="atLeast" w:line="100" w:before="0" w:after="0"/>
              <w:jc w:val="both"/>
              <w:rPr/>
            </w:pPr>
            <w:r>
              <w:rPr>
                <w:rStyle w:val="DefaultParagraphFont"/>
                <w:szCs w:val="24"/>
              </w:rPr>
              <w:t>For the Seller</w:t>
            </w:r>
          </w:p>
        </w:tc>
        <w:tc>
          <w:tcPr>
            <w:tcW w:w="780" w:type="dxa"/>
            <w:tcBorders/>
            <w:shd w:fill="auto" w:val="clear"/>
          </w:tcPr>
          <w:p>
            <w:pPr>
              <w:pStyle w:val="TableContents"/>
              <w:snapToGrid w:val="false"/>
              <w:jc w:val="both"/>
              <w:rPr/>
            </w:pPr>
            <w:r>
              <w:rPr/>
            </w:r>
          </w:p>
        </w:tc>
        <w:tc>
          <w:tcPr>
            <w:tcW w:w="4626" w:type="dxa"/>
            <w:tcBorders/>
            <w:shd w:fill="auto" w:val="clear"/>
          </w:tcPr>
          <w:p>
            <w:pPr>
              <w:pStyle w:val="TableContents"/>
              <w:jc w:val="both"/>
              <w:rPr/>
            </w:pPr>
            <w:r>
              <w:rPr>
                <w:szCs w:val="24"/>
              </w:rPr>
              <w:t>&lt;&lt;**</w:t>
            </w:r>
            <w:r>
              <w:rPr>
                <w:szCs w:val="24"/>
                <w:shd w:fill="FFFF00" w:val="clear"/>
              </w:rPr>
              <w:t xml:space="preserve"> enter name*</w:t>
            </w:r>
            <w:r>
              <w:rPr>
                <w:szCs w:val="24"/>
              </w:rPr>
              <w:t>*&gt;&gt;</w:t>
            </w:r>
          </w:p>
          <w:p>
            <w:pPr>
              <w:pStyle w:val="TableContents"/>
              <w:jc w:val="both"/>
              <w:rPr/>
            </w:pPr>
            <w:r>
              <w:rPr>
                <w:szCs w:val="24"/>
              </w:rPr>
              <w:t>&lt;&lt;**</w:t>
            </w:r>
            <w:r>
              <w:rPr>
                <w:szCs w:val="24"/>
                <w:shd w:fill="FFFF00" w:val="clear"/>
              </w:rPr>
              <w:t>enter address*</w:t>
            </w:r>
            <w:r>
              <w:rPr>
                <w:szCs w:val="24"/>
              </w:rPr>
              <w:t>*&gt;&gt;</w:t>
            </w:r>
          </w:p>
        </w:tc>
      </w:tr>
      <w:tr>
        <w:trPr>
          <w:trHeight w:val="229" w:hRule="atLeast"/>
        </w:trPr>
        <w:tc>
          <w:tcPr>
            <w:tcW w:w="2676" w:type="dxa"/>
            <w:tcBorders/>
            <w:shd w:fill="auto" w:val="clear"/>
          </w:tcPr>
          <w:p>
            <w:pPr>
              <w:pStyle w:val="Normal"/>
              <w:widowControl w:val="false"/>
              <w:snapToGrid w:val="false"/>
              <w:spacing w:lineRule="atLeast" w:line="100" w:before="0" w:after="0"/>
              <w:jc w:val="both"/>
              <w:rPr/>
            </w:pPr>
            <w:r>
              <w:rPr/>
            </w:r>
          </w:p>
        </w:tc>
        <w:tc>
          <w:tcPr>
            <w:tcW w:w="780" w:type="dxa"/>
            <w:tcBorders/>
            <w:shd w:fill="auto" w:val="clear"/>
          </w:tcPr>
          <w:p>
            <w:pPr>
              <w:pStyle w:val="TableContents"/>
              <w:snapToGrid w:val="false"/>
              <w:jc w:val="both"/>
              <w:rPr/>
            </w:pPr>
            <w:r>
              <w:rPr/>
            </w:r>
          </w:p>
        </w:tc>
        <w:tc>
          <w:tcPr>
            <w:tcW w:w="4626" w:type="dxa"/>
            <w:tcBorders/>
            <w:shd w:fill="auto" w:val="clear"/>
          </w:tcPr>
          <w:p>
            <w:pPr>
              <w:pStyle w:val="TableContents"/>
              <w:snapToGrid w:val="false"/>
              <w:jc w:val="both"/>
              <w:rPr/>
            </w:pPr>
            <w:r>
              <w:rPr/>
            </w:r>
          </w:p>
        </w:tc>
      </w:tr>
      <w:tr>
        <w:trPr/>
        <w:tc>
          <w:tcPr>
            <w:tcW w:w="2676" w:type="dxa"/>
            <w:tcBorders/>
            <w:shd w:fill="auto" w:val="clear"/>
          </w:tcPr>
          <w:p>
            <w:pPr>
              <w:pStyle w:val="Normal"/>
              <w:widowControl w:val="false"/>
              <w:spacing w:lineRule="atLeast" w:line="100" w:before="0" w:after="0"/>
              <w:jc w:val="both"/>
              <w:rPr>
                <w:szCs w:val="24"/>
              </w:rPr>
            </w:pPr>
            <w:r>
              <w:rPr>
                <w:szCs w:val="24"/>
              </w:rPr>
              <w:t>With a Copy to</w:t>
            </w:r>
          </w:p>
        </w:tc>
        <w:tc>
          <w:tcPr>
            <w:tcW w:w="780" w:type="dxa"/>
            <w:tcBorders/>
            <w:shd w:fill="auto" w:val="clear"/>
          </w:tcPr>
          <w:p>
            <w:pPr>
              <w:pStyle w:val="TableContents"/>
              <w:snapToGrid w:val="false"/>
              <w:jc w:val="both"/>
              <w:rPr/>
            </w:pPr>
            <w:r>
              <w:rPr/>
            </w:r>
          </w:p>
        </w:tc>
        <w:tc>
          <w:tcPr>
            <w:tcW w:w="4626" w:type="dxa"/>
            <w:tcBorders/>
            <w:shd w:fill="auto" w:val="clear"/>
          </w:tcPr>
          <w:p>
            <w:pPr>
              <w:pStyle w:val="TableContents"/>
              <w:jc w:val="both"/>
              <w:rPr/>
            </w:pPr>
            <w:r>
              <w:rPr>
                <w:szCs w:val="24"/>
              </w:rPr>
              <w:t>&lt;&lt;**</w:t>
            </w:r>
            <w:r>
              <w:rPr>
                <w:szCs w:val="24"/>
                <w:shd w:fill="FFFF00" w:val="clear"/>
              </w:rPr>
              <w:t xml:space="preserve"> enter name*</w:t>
            </w:r>
            <w:r>
              <w:rPr>
                <w:szCs w:val="24"/>
              </w:rPr>
              <w:t>*&gt;&gt;</w:t>
            </w:r>
          </w:p>
          <w:p>
            <w:pPr>
              <w:pStyle w:val="TableContents"/>
              <w:jc w:val="both"/>
              <w:rPr/>
            </w:pPr>
            <w:r>
              <w:rPr>
                <w:szCs w:val="24"/>
              </w:rPr>
              <w:t>&lt;&lt;**</w:t>
            </w:r>
            <w:r>
              <w:rPr>
                <w:szCs w:val="24"/>
                <w:shd w:fill="FFFF00" w:val="clear"/>
              </w:rPr>
              <w:t>enter address*</w:t>
            </w:r>
            <w:r>
              <w:rPr>
                <w:szCs w:val="24"/>
              </w:rPr>
              <w:t>*&gt;&gt;</w:t>
            </w:r>
          </w:p>
        </w:tc>
      </w:tr>
      <w:tr>
        <w:trPr/>
        <w:tc>
          <w:tcPr>
            <w:tcW w:w="2676" w:type="dxa"/>
            <w:tcBorders/>
            <w:shd w:fill="auto" w:val="clear"/>
          </w:tcPr>
          <w:p>
            <w:pPr>
              <w:pStyle w:val="Normal"/>
              <w:widowControl w:val="false"/>
              <w:snapToGrid w:val="false"/>
              <w:spacing w:lineRule="atLeast" w:line="100" w:before="0" w:after="0"/>
              <w:jc w:val="both"/>
              <w:rPr/>
            </w:pPr>
            <w:r>
              <w:rPr/>
            </w:r>
          </w:p>
        </w:tc>
        <w:tc>
          <w:tcPr>
            <w:tcW w:w="780" w:type="dxa"/>
            <w:tcBorders/>
            <w:shd w:fill="auto" w:val="clear"/>
          </w:tcPr>
          <w:p>
            <w:pPr>
              <w:pStyle w:val="TableContents"/>
              <w:snapToGrid w:val="false"/>
              <w:jc w:val="both"/>
              <w:rPr/>
            </w:pPr>
            <w:r>
              <w:rPr/>
            </w:r>
          </w:p>
        </w:tc>
        <w:tc>
          <w:tcPr>
            <w:tcW w:w="4626" w:type="dxa"/>
            <w:tcBorders/>
            <w:shd w:fill="auto" w:val="clear"/>
          </w:tcPr>
          <w:p>
            <w:pPr>
              <w:pStyle w:val="TableContents"/>
              <w:snapToGrid w:val="false"/>
              <w:jc w:val="both"/>
              <w:rPr/>
            </w:pPr>
            <w:r>
              <w:rPr/>
            </w:r>
          </w:p>
        </w:tc>
      </w:tr>
      <w:tr>
        <w:trPr/>
        <w:tc>
          <w:tcPr>
            <w:tcW w:w="2676" w:type="dxa"/>
            <w:tcBorders/>
            <w:shd w:fill="auto" w:val="clear"/>
          </w:tcPr>
          <w:p>
            <w:pPr>
              <w:pStyle w:val="Normal"/>
              <w:widowControl w:val="false"/>
              <w:spacing w:lineRule="atLeast" w:line="100" w:before="0" w:after="0"/>
              <w:jc w:val="both"/>
              <w:rPr>
                <w:szCs w:val="24"/>
              </w:rPr>
            </w:pPr>
            <w:r>
              <w:rPr>
                <w:szCs w:val="24"/>
              </w:rPr>
              <w:t>For the Purchaser:</w:t>
            </w:r>
          </w:p>
        </w:tc>
        <w:tc>
          <w:tcPr>
            <w:tcW w:w="780" w:type="dxa"/>
            <w:tcBorders/>
            <w:shd w:fill="auto" w:val="clear"/>
          </w:tcPr>
          <w:p>
            <w:pPr>
              <w:pStyle w:val="TableContents"/>
              <w:snapToGrid w:val="false"/>
              <w:jc w:val="both"/>
              <w:rPr/>
            </w:pPr>
            <w:r>
              <w:rPr/>
            </w:r>
          </w:p>
        </w:tc>
        <w:tc>
          <w:tcPr>
            <w:tcW w:w="4626" w:type="dxa"/>
            <w:tcBorders/>
            <w:shd w:fill="auto" w:val="clear"/>
          </w:tcPr>
          <w:p>
            <w:pPr>
              <w:pStyle w:val="TableContents"/>
              <w:jc w:val="both"/>
              <w:rPr/>
            </w:pPr>
            <w:r>
              <w:rPr>
                <w:szCs w:val="24"/>
              </w:rPr>
              <w:t>&lt;&lt;**</w:t>
            </w:r>
            <w:r>
              <w:rPr>
                <w:szCs w:val="24"/>
                <w:shd w:fill="FFFF00" w:val="clear"/>
              </w:rPr>
              <w:t xml:space="preserve"> enter name*</w:t>
            </w:r>
            <w:r>
              <w:rPr>
                <w:szCs w:val="24"/>
              </w:rPr>
              <w:t>*&gt;&gt;</w:t>
            </w:r>
          </w:p>
          <w:p>
            <w:pPr>
              <w:pStyle w:val="TableContents"/>
              <w:jc w:val="both"/>
              <w:rPr/>
            </w:pPr>
            <w:r>
              <w:rPr>
                <w:szCs w:val="24"/>
              </w:rPr>
              <w:t>&lt;&lt;**</w:t>
            </w:r>
            <w:r>
              <w:rPr>
                <w:szCs w:val="24"/>
                <w:shd w:fill="FFFF00" w:val="clear"/>
              </w:rPr>
              <w:t>enter address*</w:t>
            </w:r>
            <w:r>
              <w:rPr>
                <w:szCs w:val="24"/>
              </w:rPr>
              <w:t>*&gt;&gt;</w:t>
            </w:r>
          </w:p>
        </w:tc>
      </w:tr>
      <w:tr>
        <w:trPr/>
        <w:tc>
          <w:tcPr>
            <w:tcW w:w="2676" w:type="dxa"/>
            <w:tcBorders/>
            <w:shd w:fill="auto" w:val="clear"/>
          </w:tcPr>
          <w:p>
            <w:pPr>
              <w:pStyle w:val="Normal"/>
              <w:widowControl w:val="false"/>
              <w:snapToGrid w:val="false"/>
              <w:spacing w:lineRule="atLeast" w:line="100" w:before="0" w:after="0"/>
              <w:jc w:val="both"/>
              <w:rPr/>
            </w:pPr>
            <w:r>
              <w:rPr/>
            </w:r>
          </w:p>
        </w:tc>
        <w:tc>
          <w:tcPr>
            <w:tcW w:w="780" w:type="dxa"/>
            <w:tcBorders/>
            <w:shd w:fill="auto" w:val="clear"/>
          </w:tcPr>
          <w:p>
            <w:pPr>
              <w:pStyle w:val="TableContents"/>
              <w:snapToGrid w:val="false"/>
              <w:jc w:val="both"/>
              <w:rPr/>
            </w:pPr>
            <w:r>
              <w:rPr/>
            </w:r>
          </w:p>
        </w:tc>
        <w:tc>
          <w:tcPr>
            <w:tcW w:w="4626" w:type="dxa"/>
            <w:tcBorders/>
            <w:shd w:fill="auto" w:val="clear"/>
          </w:tcPr>
          <w:p>
            <w:pPr>
              <w:pStyle w:val="TableContents"/>
              <w:snapToGrid w:val="false"/>
              <w:jc w:val="both"/>
              <w:rPr/>
            </w:pPr>
            <w:r>
              <w:rPr/>
            </w:r>
          </w:p>
        </w:tc>
      </w:tr>
      <w:tr>
        <w:trPr/>
        <w:tc>
          <w:tcPr>
            <w:tcW w:w="2676" w:type="dxa"/>
            <w:tcBorders/>
            <w:shd w:fill="auto" w:val="clear"/>
          </w:tcPr>
          <w:p>
            <w:pPr>
              <w:pStyle w:val="Normal"/>
              <w:widowControl w:val="false"/>
              <w:spacing w:lineRule="atLeast" w:line="100" w:before="0" w:after="0"/>
              <w:jc w:val="both"/>
              <w:rPr>
                <w:szCs w:val="24"/>
              </w:rPr>
            </w:pPr>
            <w:r>
              <w:rPr>
                <w:szCs w:val="24"/>
              </w:rPr>
              <w:t>With a Copy to</w:t>
            </w:r>
          </w:p>
        </w:tc>
        <w:tc>
          <w:tcPr>
            <w:tcW w:w="780" w:type="dxa"/>
            <w:tcBorders/>
            <w:shd w:fill="auto" w:val="clear"/>
          </w:tcPr>
          <w:p>
            <w:pPr>
              <w:pStyle w:val="TableContents"/>
              <w:snapToGrid w:val="false"/>
              <w:jc w:val="both"/>
              <w:rPr/>
            </w:pPr>
            <w:r>
              <w:rPr/>
            </w:r>
          </w:p>
        </w:tc>
        <w:tc>
          <w:tcPr>
            <w:tcW w:w="4626" w:type="dxa"/>
            <w:tcBorders/>
            <w:shd w:fill="auto" w:val="clear"/>
          </w:tcPr>
          <w:p>
            <w:pPr>
              <w:pStyle w:val="TableContents"/>
              <w:jc w:val="both"/>
              <w:rPr/>
            </w:pPr>
            <w:r>
              <w:rPr>
                <w:szCs w:val="24"/>
              </w:rPr>
              <w:t>&lt;&lt;**</w:t>
            </w:r>
            <w:r>
              <w:rPr>
                <w:szCs w:val="24"/>
                <w:shd w:fill="FFFF00" w:val="clear"/>
              </w:rPr>
              <w:t xml:space="preserve"> enter name*</w:t>
            </w:r>
            <w:r>
              <w:rPr>
                <w:szCs w:val="24"/>
              </w:rPr>
              <w:t>*&gt;&gt;</w:t>
            </w:r>
          </w:p>
          <w:p>
            <w:pPr>
              <w:pStyle w:val="TableContents"/>
              <w:jc w:val="both"/>
              <w:rPr/>
            </w:pPr>
            <w:r>
              <w:rPr>
                <w:szCs w:val="24"/>
              </w:rPr>
              <w:t>&lt;&lt;**</w:t>
            </w:r>
            <w:r>
              <w:rPr>
                <w:szCs w:val="24"/>
                <w:shd w:fill="FFFF00" w:val="clear"/>
              </w:rPr>
              <w:t>enter address*</w:t>
            </w:r>
            <w:r>
              <w:rPr>
                <w:szCs w:val="24"/>
              </w:rPr>
              <w:t>*&gt;&gt;</w:t>
            </w:r>
          </w:p>
        </w:tc>
      </w:tr>
    </w:tbl>
    <w:p>
      <w:pPr>
        <w:pStyle w:val="Normal"/>
        <w:widowControl w:val="false"/>
        <w:spacing w:lineRule="atLeast" w:line="100" w:before="0" w:after="0"/>
        <w:jc w:val="both"/>
        <w:rPr/>
      </w:pPr>
      <w:r>
        <w:rPr/>
      </w:r>
    </w:p>
    <w:p>
      <w:pPr>
        <w:pStyle w:val="TextBody"/>
        <w:numPr>
          <w:ilvl w:val="1"/>
          <w:numId w:val="1"/>
        </w:numPr>
        <w:rPr/>
      </w:pPr>
      <w:r>
        <w:rPr/>
        <w:t>Integration: Modification and Severability. This Agreement and the attachments hereto set forth the entire understanding of Buyer and Seller with the respect to the matters which are the subject of this Agreement, superseding and/or incorporating all prior or contemporaneous oral or written agreements, and may be changed, modified, or amended only by an instrument in writing executed by the party against whom the enforcement of any such change, modification or amendment is sought. If any term or provision of this Agreement or the application thereof to any persons or circumstances shall, to any extent, be invalid or unenforceable, the remainder of this Agreement or the application of such term or provision to persons or circumstances other than those as to which it is held invalid or unenforceable shall not be affected thereby, and each term and provision of this Agreement shall be valid and enforced to the fullest extent permitted by law.</w:t>
      </w:r>
    </w:p>
    <w:p>
      <w:pPr>
        <w:pStyle w:val="TextBody"/>
        <w:numPr>
          <w:ilvl w:val="1"/>
          <w:numId w:val="1"/>
        </w:numPr>
        <w:rPr/>
      </w:pPr>
      <w:r>
        <w:rPr/>
        <w:t>Successors and Assigns. This Agreement will inure to the benefit of and be binding upon, and is intended solely for the benefit of, the parties hereto, and their respective heirs, personal representatives, successors, and assigns; and no third party will have any rights, privileges or other beneficial interests herein or hereunder. In particular, Seller acknowledges and agrees that Buyer may assign any interest in or to this Agreement without Seller’s consent and, upon such assignment, Buyer will be released in full of any and all obligations hereunder. Also, Buyer acknowledges and agrees that Seller may assign this Agreement without Buyer’s consent only to an Affiliate or other Person who owns the Property at Closing.</w:t>
      </w:r>
    </w:p>
    <w:p>
      <w:pPr>
        <w:pStyle w:val="TextBody"/>
        <w:numPr>
          <w:ilvl w:val="1"/>
          <w:numId w:val="1"/>
        </w:numPr>
        <w:rPr/>
      </w:pPr>
      <w:r>
        <w:rPr/>
        <w:t xml:space="preserve">Construction. Headings and similar structural elements set forth in this Agreement are intended for ease of reference only, and are not intended, and will not be construed, to reflect the intention of the parties or to affect the substance of this Agreement. This Agreement has been negotiated at arm’s length between Seller and Buyer, each represented by legal counsel of its choice and having an ample opportunity to negotiate the form and substance hereof, and therefore in construing the provisions of this Agreement the parties will be deemed to have had equal roles in drafting. </w:t>
      </w:r>
    </w:p>
    <w:p>
      <w:pPr>
        <w:pStyle w:val="TextBody"/>
        <w:numPr>
          <w:ilvl w:val="1"/>
          <w:numId w:val="1"/>
        </w:numPr>
        <w:rPr/>
      </w:pPr>
      <w:r>
        <w:rPr/>
        <w:t>Governing Law. This Agreement is governed by and will be construed in accordance with the laws of the State of Florida, and in the event of any litigation concerning the terms of this Agreement, proper venue thereof will be in the County.</w:t>
      </w:r>
    </w:p>
    <w:p>
      <w:pPr>
        <w:pStyle w:val="TextBody"/>
        <w:numPr>
          <w:ilvl w:val="1"/>
          <w:numId w:val="1"/>
        </w:numPr>
        <w:rPr/>
      </w:pPr>
      <w:r>
        <w:rPr/>
        <w:t>Invalid Provisions. In the event any term or provision this Agreement is held illegal, unenforceable or inoperative as a matter of law, the remaining terms and provisions will not be affected thereby, but will be valid and remain in force and effect, provided that the inoperative provisions are not essential to the interpretation or performance of this Agreement in accordance with the clear intent of the parties.</w:t>
      </w:r>
    </w:p>
    <w:p>
      <w:pPr>
        <w:pStyle w:val="TextBody"/>
        <w:numPr>
          <w:ilvl w:val="1"/>
          <w:numId w:val="1"/>
        </w:numPr>
        <w:rPr/>
      </w:pPr>
      <w:r>
        <w:rPr/>
        <w:t>Counterparts. This Agreement may be executed in two or more counterparts, each of which will be deemed an original, but all of which will constitute the same instrument; and delivery of signatures transmitted by facsimile will be sufficient to bind the signing party.</w:t>
      </w:r>
    </w:p>
    <w:p>
      <w:pPr>
        <w:pStyle w:val="TextBody"/>
        <w:numPr>
          <w:ilvl w:val="1"/>
          <w:numId w:val="1"/>
        </w:numPr>
        <w:rPr/>
      </w:pPr>
      <w:r>
        <w:rPr/>
        <w:t>No Waiver of Default. No waiver by a party of any breach of this Agreement or of any warranty or representation hereunder by the other party will be deemed to be a waiver of any other breach by such other party (whether preceding or succeeding and whether or not of the same or similar nature), and no acceptance of payment or performance by a party after any breach by the other party will be deemed to be a waiver of any breach of this Agreement or of any representation or warranty hereunder by such other party, whether or not the first party knows of such breach at the time it accepts such payment or performance. No failure or delay by a party to exercise any right it may have by reason of the default of the other party will operate as a waiver of default or modification of this Agreement or will prevent the exercise of any right by the first party while the other party continues so to be in default.</w:t>
      </w:r>
    </w:p>
    <w:p>
      <w:pPr>
        <w:pStyle w:val="Normal"/>
        <w:rPr/>
      </w:pPr>
      <w:r>
        <w:rPr/>
      </w:r>
    </w:p>
    <w:p>
      <w:pPr>
        <w:pStyle w:val="Normal"/>
        <w:rPr/>
      </w:pPr>
      <w:r>
        <w:rPr/>
      </w:r>
    </w:p>
    <w:p>
      <w:pPr>
        <w:pStyle w:val="Normal"/>
        <w:jc w:val="center"/>
        <w:rPr>
          <w:i/>
          <w:i/>
          <w:iCs/>
        </w:rPr>
      </w:pPr>
      <w:r>
        <w:rPr>
          <w:i/>
          <w:iCs/>
        </w:rPr>
        <w:t>SIGNATURES ON FOLLOWING PAGE</w:t>
      </w:r>
    </w:p>
    <w:p>
      <w:pPr>
        <w:pStyle w:val="Normal"/>
        <w:rPr/>
      </w:pPr>
      <w:r>
        <w:rPr/>
      </w:r>
    </w:p>
    <w:p>
      <w:pPr>
        <w:pStyle w:val="Normal"/>
        <w:rPr/>
      </w:pPr>
      <w:r>
        <w:rPr/>
      </w:r>
      <w:r>
        <w:br w:type="page"/>
      </w:r>
    </w:p>
    <w:p>
      <w:pPr>
        <w:pStyle w:val="Normal"/>
        <w:rPr/>
      </w:pPr>
      <w:r>
        <w:rPr>
          <w:b/>
          <w:bCs/>
        </w:rPr>
        <w:t>IN WITNESS WHEREOF,</w:t>
      </w:r>
      <w:r>
        <w:rPr/>
        <w:t xml:space="preserve"> the parties have executed this Agreement as of the Effective Date set forth above.</w:t>
      </w:r>
    </w:p>
    <w:p>
      <w:pPr>
        <w:pStyle w:val="Normal"/>
        <w:rPr/>
      </w:pPr>
      <w:r>
        <w:rPr/>
      </w:r>
    </w:p>
    <w:p>
      <w:pPr>
        <w:pStyle w:val="Normal"/>
        <w:rPr/>
      </w:pPr>
      <w:r>
        <w:rPr/>
      </w:r>
    </w:p>
    <w:tbl>
      <w:tblPr>
        <w:tblW w:w="9348" w:type="dxa"/>
        <w:jc w:val="left"/>
        <w:tblInd w:w="55" w:type="dxa"/>
        <w:tblCellMar>
          <w:top w:w="55" w:type="dxa"/>
          <w:left w:w="55" w:type="dxa"/>
          <w:bottom w:w="55" w:type="dxa"/>
          <w:right w:w="55" w:type="dxa"/>
        </w:tblCellMar>
      </w:tblPr>
      <w:tblGrid>
        <w:gridCol w:w="4867"/>
        <w:gridCol w:w="4480"/>
      </w:tblGrid>
      <w:tr>
        <w:trPr/>
        <w:tc>
          <w:tcPr>
            <w:tcW w:w="4867" w:type="dxa"/>
            <w:tcBorders/>
            <w:shd w:fill="auto" w:val="clear"/>
          </w:tcPr>
          <w:p>
            <w:pPr>
              <w:pStyle w:val="Normal"/>
              <w:rPr/>
            </w:pPr>
            <w:r>
              <w:rPr/>
              <w:t>Signed, sealed and delivered</w:t>
            </w:r>
          </w:p>
          <w:p>
            <w:pPr>
              <w:pStyle w:val="Normal"/>
              <w:rPr/>
            </w:pPr>
            <w:r>
              <w:rPr/>
              <w:t>in the presence of</w:t>
            </w:r>
          </w:p>
          <w:p>
            <w:pPr>
              <w:pStyle w:val="Normal"/>
              <w:rPr/>
            </w:pPr>
            <w:r>
              <w:rPr/>
            </w:r>
          </w:p>
          <w:p>
            <w:pPr>
              <w:pStyle w:val="Normal"/>
              <w:rPr/>
            </w:pPr>
            <w:r>
              <w:rPr/>
              <w:t>___________________________________</w:t>
            </w:r>
          </w:p>
          <w:p>
            <w:pPr>
              <w:pStyle w:val="Normal"/>
              <w:rPr/>
            </w:pPr>
            <w:r>
              <w:rPr/>
            </w:r>
          </w:p>
          <w:p>
            <w:pPr>
              <w:pStyle w:val="Normal"/>
              <w:rPr/>
            </w:pPr>
            <w:r>
              <w:rPr/>
              <w:t>___________________________________</w:t>
            </w:r>
          </w:p>
        </w:tc>
        <w:tc>
          <w:tcPr>
            <w:tcW w:w="4480" w:type="dxa"/>
            <w:tcBorders/>
            <w:shd w:fill="auto" w:val="clear"/>
          </w:tcPr>
          <w:p>
            <w:pPr>
              <w:pStyle w:val="Normal"/>
              <w:rPr/>
            </w:pPr>
            <w:r>
              <w:rPr>
                <w:rStyle w:val="DefaultParagraphFont"/>
                <w:rFonts w:cs="Carlito;Calibri" w:ascii="Carlito;Calibri" w:hAnsi="Carlito;Calibri"/>
                <w:b/>
                <w:bCs/>
                <w:sz w:val="22"/>
                <w:szCs w:val="22"/>
              </w:rPr>
              <w:t>SELLER:  &lt;&lt;**</w:t>
            </w:r>
            <w:r>
              <w:rPr>
                <w:rStyle w:val="DefaultParagraphFont"/>
                <w:rFonts w:cs="Carlito;Calibri" w:ascii="Carlito;Calibri" w:hAnsi="Carlito;Calibri"/>
                <w:b/>
                <w:bCs/>
                <w:sz w:val="22"/>
                <w:szCs w:val="22"/>
                <w:shd w:fill="FFFF00" w:val="clear"/>
              </w:rPr>
              <w:t>enter name</w:t>
            </w:r>
            <w:r>
              <w:rPr>
                <w:rStyle w:val="DefaultParagraphFont"/>
                <w:rFonts w:cs="Carlito;Calibri" w:ascii="Carlito;Calibri" w:hAnsi="Carlito;Calibri"/>
                <w:b/>
                <w:bCs/>
                <w:sz w:val="22"/>
                <w:szCs w:val="22"/>
              </w:rPr>
              <w:t>**&gt;&gt;</w:t>
            </w:r>
          </w:p>
          <w:p>
            <w:pPr>
              <w:pStyle w:val="Normal"/>
              <w:rPr/>
            </w:pPr>
            <w:r>
              <w:rPr/>
              <w:t>_____________________________</w:t>
            </w:r>
          </w:p>
          <w:p>
            <w:pPr>
              <w:pStyle w:val="Normal"/>
              <w:rPr/>
            </w:pPr>
            <w:r>
              <w:rPr/>
              <w:t>Signature</w:t>
            </w:r>
          </w:p>
          <w:p>
            <w:pPr>
              <w:pStyle w:val="Normal"/>
              <w:rPr/>
            </w:pPr>
            <w:r>
              <w:rPr/>
              <w:t>_______________________________</w:t>
            </w:r>
          </w:p>
          <w:p>
            <w:pPr>
              <w:pStyle w:val="Normal"/>
              <w:rPr/>
            </w:pPr>
            <w:r>
              <w:rPr/>
              <w:t>Print Name and title</w:t>
            </w:r>
          </w:p>
          <w:p>
            <w:pPr>
              <w:pStyle w:val="Normal"/>
              <w:rPr/>
            </w:pPr>
            <w:r>
              <w:rPr>
                <w:rStyle w:val="DefaultParagraphFont"/>
                <w:rFonts w:cs="Carlito;Calibri" w:ascii="Carlito;Calibri" w:hAnsi="Carlito;Calibri"/>
                <w:b w:val="false"/>
                <w:bCs w:val="false"/>
                <w:sz w:val="22"/>
                <w:szCs w:val="22"/>
              </w:rPr>
              <w:t>Date:</w:t>
            </w:r>
            <w:r>
              <w:rPr>
                <w:rStyle w:val="DefaultParagraphFont"/>
                <w:rFonts w:cs="Carlito;Calibri" w:ascii="Carlito;Calibri" w:hAnsi="Carlito;Calibri"/>
                <w:b w:val="false"/>
                <w:bCs w:val="false"/>
                <w:sz w:val="22"/>
                <w:szCs w:val="22"/>
                <w:u w:val="single"/>
              </w:rPr>
              <w:t xml:space="preserve"> ____________________</w:t>
            </w:r>
          </w:p>
          <w:p>
            <w:pPr>
              <w:pStyle w:val="Normal"/>
              <w:rPr/>
            </w:pPr>
            <w:r>
              <w:rPr/>
            </w:r>
          </w:p>
          <w:p>
            <w:pPr>
              <w:pStyle w:val="Normal"/>
              <w:rPr/>
            </w:pPr>
            <w:r>
              <w:rPr/>
            </w:r>
          </w:p>
        </w:tc>
      </w:tr>
      <w:tr>
        <w:trPr/>
        <w:tc>
          <w:tcPr>
            <w:tcW w:w="4867" w:type="dxa"/>
            <w:tcBorders/>
            <w:shd w:fill="auto" w:val="clear"/>
          </w:tcPr>
          <w:p>
            <w:pPr>
              <w:pStyle w:val="Normal"/>
              <w:snapToGrid w:val="false"/>
              <w:rPr/>
            </w:pPr>
            <w:r>
              <w:rPr/>
            </w:r>
          </w:p>
          <w:p>
            <w:pPr>
              <w:pStyle w:val="Normal"/>
              <w:rPr/>
            </w:pPr>
            <w:r>
              <w:rPr/>
            </w:r>
          </w:p>
          <w:p>
            <w:pPr>
              <w:pStyle w:val="Normal"/>
              <w:rPr/>
            </w:pPr>
            <w:r>
              <w:rPr/>
              <w:t>_______________________________</w:t>
            </w:r>
          </w:p>
          <w:p>
            <w:pPr>
              <w:pStyle w:val="Normal"/>
              <w:rPr/>
            </w:pPr>
            <w:r>
              <w:rPr/>
            </w:r>
          </w:p>
          <w:p>
            <w:pPr>
              <w:pStyle w:val="Normal"/>
              <w:rPr/>
            </w:pPr>
            <w:r>
              <w:rPr/>
              <w:t>_______________________________</w:t>
            </w:r>
          </w:p>
        </w:tc>
        <w:tc>
          <w:tcPr>
            <w:tcW w:w="4480" w:type="dxa"/>
            <w:tcBorders/>
            <w:shd w:fill="auto" w:val="clear"/>
          </w:tcPr>
          <w:p>
            <w:pPr>
              <w:pStyle w:val="Normal"/>
              <w:rPr/>
            </w:pPr>
            <w:r>
              <w:rPr>
                <w:rFonts w:cs="Carlito;Calibri" w:ascii="Carlito;Calibri" w:hAnsi="Carlito;Calibri"/>
                <w:b/>
                <w:bCs/>
                <w:sz w:val="22"/>
                <w:szCs w:val="22"/>
              </w:rPr>
              <w:t xml:space="preserve">BUYER:  </w:t>
            </w:r>
            <w:r>
              <w:rPr>
                <w:rStyle w:val="DefaultParagraphFont"/>
                <w:rFonts w:cs="Carlito;Calibri" w:ascii="Carlito;Calibri" w:hAnsi="Carlito;Calibri"/>
                <w:b/>
                <w:bCs/>
                <w:sz w:val="22"/>
                <w:szCs w:val="22"/>
              </w:rPr>
              <w:t>&lt;&lt;**</w:t>
            </w:r>
            <w:r>
              <w:rPr>
                <w:rStyle w:val="DefaultParagraphFont"/>
                <w:rFonts w:cs="Carlito;Calibri" w:ascii="Carlito;Calibri" w:hAnsi="Carlito;Calibri"/>
                <w:b/>
                <w:bCs/>
                <w:sz w:val="22"/>
                <w:szCs w:val="22"/>
                <w:shd w:fill="FFFF00" w:val="clear"/>
              </w:rPr>
              <w:t>enter name</w:t>
            </w:r>
            <w:r>
              <w:rPr>
                <w:rStyle w:val="DefaultParagraphFont"/>
                <w:rFonts w:cs="Carlito;Calibri" w:ascii="Carlito;Calibri" w:hAnsi="Carlito;Calibri"/>
                <w:b/>
                <w:bCs/>
                <w:sz w:val="22"/>
                <w:szCs w:val="22"/>
              </w:rPr>
              <w:t>**&gt;&gt;</w:t>
            </w:r>
          </w:p>
          <w:p>
            <w:pPr>
              <w:pStyle w:val="Normal"/>
              <w:rPr/>
            </w:pPr>
            <w:r>
              <w:rPr/>
            </w:r>
          </w:p>
          <w:p>
            <w:pPr>
              <w:pStyle w:val="Normal"/>
              <w:rPr/>
            </w:pPr>
            <w:r>
              <w:rPr/>
              <w:t>_____________________________</w:t>
            </w:r>
          </w:p>
          <w:p>
            <w:pPr>
              <w:pStyle w:val="Normal"/>
              <w:rPr/>
            </w:pPr>
            <w:r>
              <w:rPr/>
              <w:t>Signature</w:t>
            </w:r>
          </w:p>
          <w:p>
            <w:pPr>
              <w:pStyle w:val="Normal"/>
              <w:rPr/>
            </w:pPr>
            <w:r>
              <w:rPr/>
              <w:t>_______________________________</w:t>
            </w:r>
          </w:p>
          <w:p>
            <w:pPr>
              <w:pStyle w:val="Normal"/>
              <w:rPr/>
            </w:pPr>
            <w:r>
              <w:rPr/>
              <w:t>Print Name and title</w:t>
            </w:r>
          </w:p>
          <w:p>
            <w:pPr>
              <w:pStyle w:val="Normal"/>
              <w:rPr/>
            </w:pPr>
            <w:r>
              <w:rPr>
                <w:rStyle w:val="DefaultParagraphFont"/>
                <w:rFonts w:cs="Carlito;Calibri" w:ascii="Carlito;Calibri" w:hAnsi="Carlito;Calibri"/>
                <w:b w:val="false"/>
                <w:bCs w:val="false"/>
                <w:sz w:val="22"/>
                <w:szCs w:val="22"/>
              </w:rPr>
              <w:t>Date:</w:t>
            </w:r>
            <w:r>
              <w:rPr>
                <w:rStyle w:val="DefaultParagraphFont"/>
                <w:rFonts w:cs="Carlito;Calibri" w:ascii="Carlito;Calibri" w:hAnsi="Carlito;Calibri"/>
                <w:b w:val="false"/>
                <w:bCs w:val="false"/>
                <w:sz w:val="22"/>
                <w:szCs w:val="22"/>
                <w:u w:val="single"/>
              </w:rPr>
              <w:t xml:space="preserve"> ____________________</w:t>
            </w:r>
          </w:p>
        </w:tc>
      </w:tr>
    </w:tbl>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StarSymbol">
    <w:altName w:val="Arial Unicode MS"/>
    <w:charset w:val="01"/>
    <w:family w:val="swiss"/>
    <w:pitch w:val="default"/>
  </w:font>
  <w:font w:name="Symbol">
    <w:charset w:val="01"/>
    <w:family w:val="swiss"/>
    <w:pitch w:val="default"/>
  </w:font>
  <w:font w:name="Calibri">
    <w:charset w:val="01"/>
    <w:family w:val="swiss"/>
    <w:pitch w:val="default"/>
  </w:font>
  <w:font w:name="Liberation Sans">
    <w:altName w:val="Arial"/>
    <w:charset w:val="01"/>
    <w:family w:val="swiss"/>
    <w:pitch w:val="default"/>
  </w:font>
  <w:font w:name="Star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lowerLetter"/>
      <w:lvlText w:val="%3."/>
      <w:lvlJc w:val="left"/>
      <w:pPr>
        <w:tabs>
          <w:tab w:val="num" w:pos="1584"/>
        </w:tabs>
        <w:ind w:left="1584" w:hanging="504"/>
      </w:pPr>
    </w:lvl>
    <w:lvl w:ilvl="3">
      <w:start w:val="1"/>
      <w:numFmt w:val="lowerRoman"/>
      <w:lvlText w:val="%4."/>
      <w:lvlJc w:val="left"/>
      <w:pPr>
        <w:tabs>
          <w:tab w:val="num" w:pos="1872"/>
        </w:tabs>
        <w:ind w:left="1872" w:hanging="360"/>
      </w:pPr>
    </w:lvl>
    <w:lvl w:ilvl="4">
      <w:start w:val="1"/>
      <w:numFmt w:val="bullet"/>
      <w:lvlText w:val="◦"/>
      <w:lvlJc w:val="left"/>
      <w:pPr>
        <w:tabs>
          <w:tab w:val="num" w:pos="2160"/>
        </w:tabs>
        <w:ind w:left="2160" w:hanging="360"/>
      </w:pPr>
      <w:rPr>
        <w:rFonts w:ascii="StarSymbol" w:hAnsi="StarSymbol" w:cs="StarSymbol" w:hint="default"/>
        <w:rFonts w:cs="OpenSymbol"/>
      </w:rPr>
    </w:lvl>
    <w:lvl w:ilvl="5">
      <w:start w:val="1"/>
      <w:numFmt w:val="bullet"/>
      <w:lvlText w:val="▪"/>
      <w:lvlJc w:val="left"/>
      <w:pPr>
        <w:tabs>
          <w:tab w:val="num" w:pos="2520"/>
        </w:tabs>
        <w:ind w:left="2520" w:hanging="360"/>
      </w:pPr>
      <w:rPr>
        <w:rFonts w:ascii="StarSymbol" w:hAnsi="StarSymbol" w:cs="Star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tarSymbol" w:hAnsi="StarSymbol" w:cs="StarSymbol" w:hint="default"/>
        <w:rFonts w:cs="OpenSymbol"/>
      </w:rPr>
    </w:lvl>
    <w:lvl w:ilvl="8">
      <w:start w:val="1"/>
      <w:numFmt w:val="bullet"/>
      <w:lvlText w:val="▪"/>
      <w:lvlJc w:val="left"/>
      <w:pPr>
        <w:tabs>
          <w:tab w:val="num" w:pos="3600"/>
        </w:tabs>
        <w:ind w:left="3600" w:hanging="360"/>
      </w:pPr>
      <w:rPr>
        <w:rFonts w:ascii="StarSymbol" w:hAnsi="StarSymbol" w:cs="Star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overflowPunct w:val="false"/>
      <w:bidi w:val="0"/>
      <w:spacing w:before="0" w:after="0"/>
      <w:jc w:val="both"/>
    </w:pPr>
    <w:rPr>
      <w:rFonts w:ascii="Carlito" w:hAnsi="Carlito" w:eastAsia="DejaVu Sans" w:cs="FreeSans"/>
      <w:color w:val="auto"/>
      <w:kern w:val="0"/>
      <w:sz w:val="22"/>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character" w:styleId="WW8Num3z0">
    <w:name w:val="WW8Num3z0"/>
    <w:qFormat/>
    <w:rPr/>
  </w:style>
  <w:style w:type="character" w:styleId="WW8Num3z1">
    <w:name w:val="WW8Num3z1"/>
    <w:qFormat/>
    <w:rPr>
      <w:b/>
      <w:szCs w:val="24"/>
    </w:rPr>
  </w:style>
  <w:style w:type="character" w:styleId="WW8Num3z2">
    <w:name w:val="WW8Num3z2"/>
    <w:qFormat/>
    <w:rPr/>
  </w:style>
  <w:style w:type="character" w:styleId="WW8Num3z3">
    <w:name w:val="WW8Num3z3"/>
    <w:qFormat/>
    <w:rPr/>
  </w:style>
  <w:style w:type="character" w:styleId="WW8Num3z4">
    <w:name w:val="WW8Num3z4"/>
    <w:qFormat/>
    <w:rPr>
      <w:rFonts w:ascii="StarSymbol;Arial Unicode MS" w:hAnsi="StarSymbol;Arial Unicode MS" w:cs="OpenSymbol;Arial Unicode MS"/>
    </w:rPr>
  </w:style>
  <w:style w:type="character" w:styleId="WW8Num3z6">
    <w:name w:val="WW8Num3z6"/>
    <w:qFormat/>
    <w:rPr>
      <w:rFonts w:ascii="Symbol" w:hAnsi="Symbol" w:cs="OpenSymbol;Arial Unicode MS"/>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false"/>
      <w:bidi w:val="0"/>
      <w:spacing w:before="0" w:after="0"/>
      <w:jc w:val="left"/>
    </w:pPr>
    <w:rPr>
      <w:rFonts w:ascii="Times New Roman" w:hAnsi="Times New Roman" w:eastAsia="DejaVu Sans" w:cs="FreeSans"/>
      <w:color w:val="auto"/>
      <w:kern w:val="0"/>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spacing w:before="0" w:after="0"/>
      <w:jc w:val="left"/>
    </w:pPr>
    <w:rPr>
      <w:rFonts w:ascii="Times New Roman" w:hAnsi="Times New Roman" w:eastAsia="DejaVu Sans" w:cs="FreeSans"/>
      <w:color w:val="auto"/>
      <w:kern w:val="0"/>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auto"/>
      <w:kern w:val="0"/>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auto"/>
      <w:kern w:val="0"/>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spacing w:before="0" w:after="0"/>
      <w:jc w:val="right"/>
    </w:pPr>
    <w:rPr>
      <w:rFonts w:ascii="Times New Roman" w:hAnsi="Times New Roman" w:eastAsia="DejaVu Sans" w:cs="FreeSans"/>
      <w:color w:val="auto"/>
      <w:kern w:val="0"/>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auto"/>
      <w:kern w:val="0"/>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4</TotalTime>
  <Application>LibreOffice/6.4.1.1$Linux_X86_64 LibreOffice_project/40$Build-1</Application>
  <Pages>14</Pages>
  <Words>7363</Words>
  <Characters>38242</Characters>
  <CharactersWithSpaces>45431</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2016-01-13T13:21:48Z</dcterms:created>
  <dc:creator>John Little</dc:creator>
  <dc:description/>
  <dc:language>en-US</dc:language>
  <cp:lastModifiedBy/>
  <dcterms:modified xsi:type="dcterms:W3CDTF">2020-02-22T08:41:59Z</dcterms:modified>
  <cp:revision>4</cp:revision>
  <dc:subject/>
  <dc:title/>
</cp:coreProperties>
</file>