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36"/>
          <w:szCs w:val="36"/>
        </w:rPr>
      </w:pPr>
      <w:r>
        <w:rPr>
          <w:b/>
          <w:bCs/>
          <w:sz w:val="36"/>
          <w:szCs w:val="36"/>
        </w:rPr>
        <w:t xml:space="preserve">OPTION </w:t>
      </w:r>
      <w:r>
        <w:rPr>
          <w:b/>
          <w:bCs/>
          <w:sz w:val="36"/>
          <w:szCs w:val="36"/>
        </w:rPr>
        <w:t>CONTRACT</w:t>
      </w:r>
    </w:p>
    <w:p>
      <w:pPr>
        <w:pStyle w:val="Normal"/>
        <w:jc w:val="center"/>
        <w:rPr>
          <w:b/>
          <w:b/>
          <w:bCs/>
          <w:sz w:val="28"/>
          <w:szCs w:val="28"/>
        </w:rPr>
      </w:pPr>
      <w:r>
        <w:rPr>
          <w:b/>
          <w:bCs/>
          <w:sz w:val="28"/>
          <w:szCs w:val="28"/>
        </w:rPr>
        <w:t>For Sale And Purchase</w:t>
      </w:r>
    </w:p>
    <w:p>
      <w:pPr>
        <w:pStyle w:val="Normal"/>
        <w:rPr/>
      </w:pPr>
      <w:r>
        <w:rPr/>
      </w:r>
    </w:p>
    <w:p>
      <w:pPr>
        <w:pStyle w:val="Normal"/>
        <w:rPr/>
      </w:pPr>
      <w:r>
        <w:rPr/>
        <w:t xml:space="preserve">The SELLER and the BUYER (named below) hereby enter into this Option Contract for Sale and Purchase of real estate. </w:t>
      </w:r>
    </w:p>
    <w:p>
      <w:pPr>
        <w:pStyle w:val="Normal"/>
        <w:rPr/>
      </w:pPr>
      <w:r>
        <w:rPr/>
      </w:r>
    </w:p>
    <w:p>
      <w:pPr>
        <w:pStyle w:val="Normal"/>
        <w:rPr/>
      </w:pPr>
      <w:r>
        <w:rPr/>
        <w:t>The SELLER, in consideration of the BUYER paying $_____________ (the "Option Deposit"), gives to the BUYER the exclusive option (the "Option") to purchase the property described below (the "Property").  In the event that the BUYER exercises this Option, the Option Deposit shall be applied towards the Purchase Price of the Property in accordance with the schedule contained in Section 3 (below). The Option Deposit is non-refundable and will be forfeited in the event that BUYER fails to exercise the Option.  The BUYER shall have the right to exercise this Option during a period of time beginning at 9:00 a.m. on ____________, 20___ and lasting until 5:30 p.m. on _________, 20___.  The BUYER shall exercise this Option by giving written notice by certified or registered mail to the SELLER at the address indicated above (“Option Notice”).  The Option Notice must be delivered to SELLER by the time and date indicated above or by hand delivering written notice to the SELLER with the SELLER giving the BUYER a written receipt indicating the time and date of delivery.  The date that the SELLER receives the Option Notice shall be known as the "Effective Date.  It is understood and agreed that time is of essence as to the payment of the purchase price under this provision.  If the BUYER does not exercise the terms of this Option by ending date as specified above, then the right and option set forth herein shall immediately terminate and the Option Deposit shall be kept by the SELLER.</w:t>
      </w:r>
    </w:p>
    <w:p>
      <w:pPr>
        <w:pStyle w:val="Normal"/>
        <w:rPr/>
      </w:pPr>
      <w:r>
        <w:rPr/>
      </w:r>
    </w:p>
    <w:p>
      <w:pPr>
        <w:pStyle w:val="Normal"/>
        <w:rPr/>
      </w:pPr>
      <w:r>
        <w:rPr/>
        <w:t>Subject to the BUYER exercising this Option, the SELLER and the BUYER hereby agree that the SELLER shall sell and the BUYER shall buy Property described below upon the following terms and conditions.  SELLER fully agrees and acknowledges that the consideration given by the BUYER constitutes legal, adequate, and valuable consideration for the purposes of this Contract.</w:t>
      </w:r>
    </w:p>
    <w:p>
      <w:pPr>
        <w:pStyle w:val="Normal"/>
        <w:rPr/>
      </w:pPr>
      <w:r>
        <w:rPr/>
      </w:r>
    </w:p>
    <w:p>
      <w:pPr>
        <w:pStyle w:val="TextBody"/>
        <w:numPr>
          <w:ilvl w:val="0"/>
          <w:numId w:val="1"/>
        </w:numPr>
        <w:rPr/>
      </w:pPr>
      <w:r>
        <w:rPr/>
        <w:t xml:space="preserve">COMMENCEMENT DATE AND EFFECTIVE DATE:   The "Commencement Date" shall be the date that the last of the parties to this Contract signs and executes below.  The obligations of the Parties under this Option Contract begin on the Commencement Date.  The "Effective Date" is the date that the SELLER receives notice from the BUYER that the BUYER is exercising its Option under this Contract.. </w:t>
      </w:r>
    </w:p>
    <w:p>
      <w:pPr>
        <w:pStyle w:val="TextBody"/>
        <w:numPr>
          <w:ilvl w:val="0"/>
          <w:numId w:val="1"/>
        </w:numPr>
        <w:rPr/>
      </w:pPr>
      <w:r>
        <w:rPr/>
        <w:t>DESCRIPTION OF PARTIES</w:t>
      </w:r>
    </w:p>
    <w:p>
      <w:pPr>
        <w:pStyle w:val="Normal"/>
        <w:rPr/>
      </w:pPr>
      <w:r>
        <w:rPr/>
        <w:tab/>
        <w:t>SELLER: &lt;**enter name here**&gt;</w:t>
      </w:r>
    </w:p>
    <w:p>
      <w:pPr>
        <w:pStyle w:val="Normal"/>
        <w:rPr/>
      </w:pPr>
      <w:r>
        <w:rPr/>
        <w:tab/>
        <w:t>BUYER:  &lt;**enter name here**&gt;</w:t>
      </w:r>
    </w:p>
    <w:p>
      <w:pPr>
        <w:pStyle w:val="Normal"/>
        <w:rPr/>
      </w:pPr>
      <w:r>
        <w:rPr/>
      </w:r>
    </w:p>
    <w:p>
      <w:pPr>
        <w:pStyle w:val="TextBody"/>
        <w:numPr>
          <w:ilvl w:val="0"/>
          <w:numId w:val="1"/>
        </w:numPr>
        <w:rPr/>
      </w:pPr>
      <w:r>
        <w:rPr/>
        <w:t>SALE AND PURCHASE OF PROPERTY.  Subject to the terms and conditions of this Contract, SELLER agrees to sell, convey and assign to BUYER at Closing (as defined below), and BUYER agrees to purchase from SELLER at Closing, all of SELLER’s right, title and interest in and to the fee simple estate in the Property owned by SELLER described below, and including all easements, hereditaments and appurtenances relating to the Property; and SELLER’S right, title and interest in adjacent streets, alleys, and rights-of-way, and adjacent strips and gores; and any land lying in the bed of any street in front of or adjoining the Property.  The Property is more particularly described as follows:</w:t>
      </w:r>
    </w:p>
    <w:p>
      <w:pPr>
        <w:pStyle w:val="Normal"/>
        <w:rPr/>
      </w:pPr>
      <w:r>
        <w:rPr/>
        <w:tab/>
        <w:t xml:space="preserve">STREET ADDRESS:  &lt;**enter data here**&gt; </w:t>
      </w:r>
    </w:p>
    <w:p>
      <w:pPr>
        <w:pStyle w:val="Normal"/>
        <w:rPr/>
      </w:pPr>
      <w:r>
        <w:rPr/>
        <w:tab/>
        <w:t>FOLIO NO.:   &lt;**enter data here**&gt;</w:t>
      </w:r>
    </w:p>
    <w:p>
      <w:pPr>
        <w:pStyle w:val="Normal"/>
        <w:rPr/>
      </w:pPr>
      <w:r>
        <w:rPr/>
        <w:tab/>
        <w:t>LEGAL DESCRIPTION:</w:t>
        <w:tab/>
        <w:t>&lt;**If lengthy make description an exhibit and add a reference here**&gt;</w:t>
      </w:r>
    </w:p>
    <w:p>
      <w:pPr>
        <w:pStyle w:val="Normal"/>
        <w:rPr/>
      </w:pPr>
      <w:r>
        <w:rPr/>
      </w:r>
    </w:p>
    <w:p>
      <w:pPr>
        <w:pStyle w:val="TextBody"/>
        <w:numPr>
          <w:ilvl w:val="0"/>
          <w:numId w:val="1"/>
        </w:numPr>
        <w:rPr/>
      </w:pPr>
      <w:r>
        <w:rPr/>
        <w:t>PURCHASE PRICE</w:t>
      </w:r>
    </w:p>
    <w:p>
      <w:pPr>
        <w:pStyle w:val="Normal"/>
        <w:ind w:left="1418" w:hanging="0"/>
        <w:rPr/>
      </w:pPr>
      <w:r>
        <w:rPr/>
        <w:t>Purchase Price</w:t>
        <w:tab/>
        <w:tab/>
        <w:tab/>
        <w:t>$  &lt;**enter data**&gt;</w:t>
      </w:r>
    </w:p>
    <w:p>
      <w:pPr>
        <w:pStyle w:val="Normal"/>
        <w:ind w:left="1418" w:hanging="0"/>
        <w:rPr/>
      </w:pPr>
      <w:r>
        <w:rPr/>
        <w:t xml:space="preserve">Option Deposit </w:t>
        <w:tab/>
        <w:tab/>
        <w:tab/>
        <w:t>$  &lt;**enter data**&gt;</w:t>
      </w:r>
    </w:p>
    <w:p>
      <w:pPr>
        <w:pStyle w:val="Normal"/>
        <w:ind w:left="1418" w:hanging="0"/>
        <w:rPr/>
      </w:pPr>
      <w:r>
        <w:rPr/>
        <w:t>Balance to be paid at closing</w:t>
        <w:tab/>
        <w:t>$  &lt;**enter data**&gt;</w:t>
      </w:r>
    </w:p>
    <w:p>
      <w:pPr>
        <w:pStyle w:val="Normal"/>
        <w:ind w:left="1418" w:hanging="0"/>
        <w:rPr/>
      </w:pPr>
      <w:r>
        <w:rPr/>
      </w:r>
    </w:p>
    <w:p>
      <w:pPr>
        <w:pStyle w:val="TextBody"/>
        <w:numPr>
          <w:ilvl w:val="0"/>
          <w:numId w:val="1"/>
        </w:numPr>
        <w:rPr/>
      </w:pPr>
      <w:r>
        <w:rPr/>
        <w:t>FINANCING AND INSPECTION PERIOD:  The BUYER may cancel this Contract at any time within the first ______ days (the "Financing and Inspection Period") following the Commencement Date by delivering written notification to the SELLER.  If such notice is delivered the Contract shall be terminated and no party will have any further obligation under this Contract.  In the event that the Contract is so terminated the BUYER shall be entitled to the a return of the Deposit.  SELLER shall grant to the BUYER reasonable access to the property for purposes inspection (such as environmental testing, etc.)</w:t>
      </w:r>
    </w:p>
    <w:p>
      <w:pPr>
        <w:pStyle w:val="TextBody"/>
        <w:numPr>
          <w:ilvl w:val="0"/>
          <w:numId w:val="1"/>
        </w:numPr>
        <w:rPr/>
      </w:pPr>
      <w:r>
        <w:rPr/>
        <w:t>REPRESENTATIONS AND WARRANTIES:  To induce the BUYER to enter into this Agreement, the SELLER makes the following representations, warranties, and covenants.</w:t>
      </w:r>
    </w:p>
    <w:p>
      <w:pPr>
        <w:pStyle w:val="TextBody"/>
        <w:numPr>
          <w:ilvl w:val="1"/>
          <w:numId w:val="1"/>
        </w:numPr>
        <w:rPr/>
      </w:pPr>
      <w:r>
        <w:rPr/>
        <w:t>SELLER has good and marketable fee simple title to the Property, free and clear of all liens, property taxes, encumbrances, and restrictions, except those shown as "exceptions" on the BUYER's title insurance commitment as of the date of the closing, taxes for the year of closing, encumbrances that will be cleared prior to closing, and encumbrances that will be cleared at the closing out of the SELLER's proceeds from the Purchase Price.</w:t>
      </w:r>
    </w:p>
    <w:p>
      <w:pPr>
        <w:pStyle w:val="TextBody"/>
        <w:numPr>
          <w:ilvl w:val="1"/>
          <w:numId w:val="1"/>
        </w:numPr>
        <w:rPr/>
      </w:pPr>
      <w:r>
        <w:rPr/>
        <w:t>There are no condemnations or similar proceedings affecting any part of the Property and no such proceeding shall be pending on the Closing Date.  To the  best of the SELLER's knowledge, no such condemnations or other proceeds are threatened or planned.</w:t>
      </w:r>
    </w:p>
    <w:p>
      <w:pPr>
        <w:pStyle w:val="TextBody"/>
        <w:numPr>
          <w:ilvl w:val="1"/>
          <w:numId w:val="1"/>
        </w:numPr>
        <w:rPr/>
      </w:pPr>
      <w:r>
        <w:rPr/>
        <w:t>There are no service contracts or agreements relating to the operation, maintenance, or security of the property under which the SELLER is bound and which will survive the closing.</w:t>
      </w:r>
    </w:p>
    <w:p>
      <w:pPr>
        <w:pStyle w:val="TextBody"/>
        <w:numPr>
          <w:ilvl w:val="1"/>
          <w:numId w:val="1"/>
        </w:numPr>
        <w:rPr/>
      </w:pPr>
      <w:r>
        <w:rPr/>
        <w:t>The SELLER is not subject to any commitment, obligation, or agreement, including but not limited to, any right of first refusal or option to purchase, granted to a third party, which would or could prevent the SELLER from completing the sale of the Property as contemplated  by this Agreement.</w:t>
      </w:r>
    </w:p>
    <w:p>
      <w:pPr>
        <w:pStyle w:val="TextBody"/>
        <w:numPr>
          <w:ilvl w:val="1"/>
          <w:numId w:val="1"/>
        </w:numPr>
        <w:rPr/>
      </w:pPr>
      <w:r>
        <w:rPr/>
        <w:t>SELLER has sole and exclusive possession of the Property and will be able to deliver possession of  the Property free of all leases on the Closing Date.</w:t>
      </w:r>
    </w:p>
    <w:p>
      <w:pPr>
        <w:pStyle w:val="TextBody"/>
        <w:numPr>
          <w:ilvl w:val="1"/>
          <w:numId w:val="1"/>
        </w:numPr>
        <w:rPr/>
      </w:pPr>
      <w:r>
        <w:rPr/>
        <w:t xml:space="preserve">The property is being sold "as is" with regard to its physical condition..  SELLER is giving no warranties to the BUYER other than the implied warranties, if any, that are imposed by Florida law for this type of transaction  </w:t>
      </w:r>
    </w:p>
    <w:p>
      <w:pPr>
        <w:pStyle w:val="TextBody"/>
        <w:numPr>
          <w:ilvl w:val="0"/>
          <w:numId w:val="1"/>
        </w:numPr>
        <w:rPr/>
      </w:pPr>
      <w:r>
        <w:rPr/>
        <w:t>CONDITIONS PRECEDENT:  The obligation of the BUYER to close this transaction is conditioned upon the representations and warranties made by the SELLER being true and correct as of the Closing Date (as if such representations and warranties had been made on such date).  In the event that such condition is not fulfilled, and notwithstanding anything to the contrary in this Contract, the BUYER shall have the right to terminate this Contract and to obtain a full refund of deposits (if any) made to the SELLER whereupon all parties shall be relieved of any further obligations hereunder.</w:t>
      </w:r>
    </w:p>
    <w:p>
      <w:pPr>
        <w:pStyle w:val="TextBody"/>
        <w:numPr>
          <w:ilvl w:val="0"/>
          <w:numId w:val="1"/>
        </w:numPr>
        <w:rPr/>
      </w:pPr>
      <w:r>
        <w:rPr/>
        <w:t xml:space="preserve">CLEAR TITLE: </w:t>
      </w:r>
    </w:p>
    <w:p>
      <w:pPr>
        <w:pStyle w:val="TextBody"/>
        <w:numPr>
          <w:ilvl w:val="1"/>
          <w:numId w:val="1"/>
        </w:numPr>
        <w:rPr/>
      </w:pPr>
      <w:r>
        <w:rPr/>
        <w:t>Within 7 days of the Commencement Date the SELLER shall deliver to the BUYER any existing title insurance policies or abstracts of title for the property in that are in the SELLER's possession or which the SELLER might obtain possession by reasonable efforts.  At closing, the SELLER shall pay for any update of the title information that might be necessary so as to enable the BUYER to obtain title insurance for the Property.</w:t>
      </w:r>
    </w:p>
    <w:p>
      <w:pPr>
        <w:pStyle w:val="TextBody"/>
        <w:numPr>
          <w:ilvl w:val="1"/>
          <w:numId w:val="1"/>
        </w:numPr>
        <w:rPr/>
      </w:pPr>
      <w:r>
        <w:rPr/>
        <w:t>SELLER shall convey a marketable title, subject only to liens, encumbrances, exceptions, or qualifications set forth in this Contract and those which shall be discharged by SELLER at or before closing.  Marketable title shall be determined according to applicable Title Standards adopted by authority of the Florida Bar and in accordance with law.</w:t>
      </w:r>
    </w:p>
    <w:p>
      <w:pPr>
        <w:pStyle w:val="TextBody"/>
        <w:numPr>
          <w:ilvl w:val="1"/>
          <w:numId w:val="1"/>
        </w:numPr>
        <w:rPr/>
      </w:pPr>
      <w:r>
        <w:rPr/>
        <w:t xml:space="preserve">If the BUYER discovers that the title is defective and such defect(s) are of a nature that they can not be cured by making payments out of the proceeds that otherwise would have been disbursed to the SELLER at the closing, the BUYER shall notify the SELLER in writing specifying the defect(s). If said defect(s) render the title unmarketable or uninsurable the SELLER will have 120 days from receipt of notice within which to remove said defect(s), and  if SELLER is unsuccessful in removing them within said time, the BUYER shall have the option of either accepting the title as it then is or terminating this Agreement and thereupon the BUYER shall be entitle to a return of any deposits that might have been made and both parties shall be released as to one another of all further obligations under this Agreement. All expenses to clear title defects shall be paid by the SELLER. </w:t>
      </w:r>
    </w:p>
    <w:p>
      <w:pPr>
        <w:pStyle w:val="TextBody"/>
        <w:numPr>
          <w:ilvl w:val="0"/>
          <w:numId w:val="1"/>
        </w:numPr>
        <w:rPr/>
      </w:pPr>
      <w:r>
        <w:rPr/>
        <w:t>CLOSING:</w:t>
      </w:r>
    </w:p>
    <w:p>
      <w:pPr>
        <w:pStyle w:val="TextBody"/>
        <w:numPr>
          <w:ilvl w:val="1"/>
          <w:numId w:val="1"/>
        </w:numPr>
        <w:rPr/>
      </w:pPr>
      <w:r>
        <w:rPr/>
        <w:t>SELLER shall convey title to the Property by statutory warranty, trustee, personal representative, or guardian deed, as appropriate to the status of the SELLER ("Deed"), subject only to matters contained in the following paragraph and those otherwise accepted by BUYER.</w:t>
      </w:r>
    </w:p>
    <w:p>
      <w:pPr>
        <w:pStyle w:val="TextBody"/>
        <w:numPr>
          <w:ilvl w:val="1"/>
          <w:numId w:val="1"/>
        </w:numPr>
        <w:rPr/>
      </w:pPr>
      <w:r>
        <w:rPr/>
        <w:t xml:space="preserve">This transaction shall be closed and the Deed and other closing papers delivered ("Closing") on or before the 30th day following the Effective Date ("Closing Date") unless extended by other provisions of this contract or by the mutual consent of both parties.  Closing shall be held in the county wherein the Property is located, at the office of the attorney or other closing agent designated by the BUYER. </w:t>
      </w:r>
    </w:p>
    <w:p>
      <w:pPr>
        <w:pStyle w:val="TextBody"/>
        <w:numPr>
          <w:ilvl w:val="1"/>
          <w:numId w:val="1"/>
        </w:numPr>
        <w:rPr/>
      </w:pPr>
      <w:r>
        <w:rPr/>
        <w:t xml:space="preserve">At Closing the BUYER shall pay the cash portion of the purchase price by bank cashier's check, certified check either of which shall be issued by and drawn on a local institution, or wire transfer, and the SELLER shall furnish the Deed and any corrective instruments that may be required in connection with perfecting the title. BUYER shall furnish the closing statement.   </w:t>
      </w:r>
    </w:p>
    <w:p>
      <w:pPr>
        <w:pStyle w:val="TextBody"/>
        <w:numPr>
          <w:ilvl w:val="1"/>
          <w:numId w:val="1"/>
        </w:numPr>
        <w:rPr/>
      </w:pPr>
      <w:r>
        <w:rPr/>
        <w:t>The SELLER shall pay the following closing costs:  the cost of recording any corrective instruments (if needed) and the title update charges necessary for the title insurance.  The BUYER shall pay the cost of recording the deed, state documentary stamps charges, and title insurance premiums.</w:t>
      </w:r>
    </w:p>
    <w:p>
      <w:pPr>
        <w:pStyle w:val="TextBody"/>
        <w:numPr>
          <w:ilvl w:val="1"/>
          <w:numId w:val="1"/>
        </w:numPr>
        <w:rPr/>
      </w:pPr>
      <w:r>
        <w:rPr/>
        <w:t>At Closing the SELLER shall furnish to BUYER an affidavit attesting to the absence, unless otherwise provided for herein, of any financing statements, claims of lien or potential lienor known to seller and further attesting that there have been no improvements or repairs to the Property for 90 days immediately preceding the Closing Date in a form satisfactory to the BUYER.  If the Property has been improved, or repaired within said time, SELLER shall deliver releases or waivers of mechanic's liens, executed by all general contractors, subcontractors, suppliers, and materialmen, in addition to seller's lien affidavit setting forth the names of all such general contractors, subcontractors, suppliers, and materialmen and further reciting that in fact all bills for work to the Property which could serve as a basis for a mechanic's lien or a claim for damages have been paid or will be paid at closing.  This affidavit shall affirm that no person or entity other than BUYER has any right or claim to possession of the Property, and shall contain such other certifications and undertakings as are customarily required in order to induce a title insurance underwriter to issue a commitment for title insurance effective on the Closing Date;</w:t>
      </w:r>
    </w:p>
    <w:p>
      <w:pPr>
        <w:pStyle w:val="TextBody"/>
        <w:numPr>
          <w:ilvl w:val="1"/>
          <w:numId w:val="1"/>
        </w:numPr>
        <w:rPr/>
      </w:pPr>
      <w:r>
        <w:rPr/>
        <w:t>At Closing SELLER shall deliver to BUYER anan affidavit complying with the provisions of Section 1445(b)(2) of the Internal Revenue Code of 1954, as amended, that Seller is not a “foreign person”</w:t>
      </w:r>
    </w:p>
    <w:p>
      <w:pPr>
        <w:pStyle w:val="TextBody"/>
        <w:numPr>
          <w:ilvl w:val="0"/>
          <w:numId w:val="1"/>
        </w:numPr>
        <w:rPr/>
      </w:pPr>
      <w:r>
        <w:rPr/>
        <w:t xml:space="preserve">RESTRICTIONS; EASEMENTS; LIMITATIONS:  The BUYER shall take title subject to: zoning, restrictions, prohibitions, and other requirements imposed by governmental authority; restrictions and matters appearing on the plat or otherwise common to the subdivision; public utility easements of record; taxes for year of closing and subsequent years; and assumed and/or purchase money mortgages, if any, and those items shown as "exceptions" on the BUYER's title insurance commitment as of the date of the closing, </w:t>
      </w:r>
    </w:p>
    <w:p>
      <w:pPr>
        <w:pStyle w:val="TextBody"/>
        <w:numPr>
          <w:ilvl w:val="0"/>
          <w:numId w:val="1"/>
        </w:numPr>
        <w:rPr/>
      </w:pPr>
      <w:r>
        <w:rPr/>
        <w:t>SURVEY:  BUYER, at BUYER's expense at any time within the Financing and Inspection Period may have the Property surveyed and certified by a registered Florida surveyor. If the survey shows any encroachment on the Property or that improvements intended to be located on the Property in fact encroach on setback lines, easements, lands of others, or violate any restrictions, Contract covenants, or applicable governmental regulations, the same shall be treated as a title defect.</w:t>
      </w:r>
    </w:p>
    <w:p>
      <w:pPr>
        <w:pStyle w:val="TextBody"/>
        <w:numPr>
          <w:ilvl w:val="0"/>
          <w:numId w:val="1"/>
        </w:numPr>
        <w:rPr/>
      </w:pPr>
      <w:r>
        <w:rPr/>
        <w:t>SPECIAL ASSESSMENT LIENS:  Certified, confirmed, and ratified special assessment liens as of the date of closing (and not as of Effective Date) are to be paid by the SELLER.  Pending liens as of the date of closing shall be assumed by BUYER, provided, however, that if the improvement has been substantially completed as of Effective Date, such pending lien shall be considered as certified, confirmed, and ratified and SELLER shall, at closing, be charged an amount equal to the last estimate by the public body of assessment for the improvement.</w:t>
      </w:r>
    </w:p>
    <w:p>
      <w:pPr>
        <w:pStyle w:val="TextBody"/>
        <w:numPr>
          <w:ilvl w:val="0"/>
          <w:numId w:val="1"/>
        </w:numPr>
        <w:rPr/>
      </w:pPr>
      <w:r>
        <w:rPr/>
        <w:t>PRORATIONS:    Ad valorem property taxes affecting or related to the Property will be prorated on the basis of actual taxes for the year of Closing, if known, with allowance for maximum  discounts or other current exemptions.  The parties agree not to re-prorate after the tax bill for the current year is available.. Seller agrees to pay for any and all prior year ad valorem property taxes affecting or related to the Property. Special assessment liens certified, or for which the work has been substantially completed, as of the Effective Date will be paid by SELLER, and any other pending assessments will be assumed by BUYER.</w:t>
      </w:r>
    </w:p>
    <w:p>
      <w:pPr>
        <w:pStyle w:val="TextBody"/>
        <w:numPr>
          <w:ilvl w:val="0"/>
          <w:numId w:val="1"/>
        </w:numPr>
        <w:rPr/>
      </w:pPr>
      <w:r>
        <w:rPr/>
        <w:t>CONTRACT NOT RECORDABLE; PERSONS BOUND; NOTICE::  Neither this Contract nor any notice thereof shall be recorded in any public records.  This Contract shall bind and inure to the benefit of the parties hereto and their successors in interest.  Whenever the context permits, singular shall include plural and one gender shall include all.  Notice given by or to the attorney for any party shall be as effective as if given by or to said party.</w:t>
      </w:r>
    </w:p>
    <w:p>
      <w:pPr>
        <w:pStyle w:val="TextBody"/>
        <w:numPr>
          <w:ilvl w:val="0"/>
          <w:numId w:val="1"/>
        </w:numPr>
        <w:rPr/>
      </w:pPr>
      <w:r>
        <w:rPr/>
        <w:t>OCCUPANCY:  Other than occupancy by the SELLER, the property shall be unoccupied at the time of closing.  The BUYER, at its option, may choose to take the property to subject to one or more residential leases in which case the SELLER shall, not less than 15 days prior to closing, furnish to BUYER copies of any and all written leases and estoppel letters from each tenant specifying the nature and duration of the tenant's occupancy, rental rates, advanced rent, and security deposits paid by tenant. In the event SELLER is unable to obtain such letter from each tenant, the same information shall be furnished by SELLER to BUYER within said time period in the form of a SELLER's affidavit, and BUYER may thereafter contact tenants to confirm such information.  SELLER shall, at closing, deliver and assign all original leases to the BUYER.</w:t>
      </w:r>
    </w:p>
    <w:p>
      <w:pPr>
        <w:pStyle w:val="TextBody"/>
        <w:numPr>
          <w:ilvl w:val="0"/>
          <w:numId w:val="1"/>
        </w:numPr>
        <w:rPr/>
      </w:pPr>
      <w:r>
        <w:rPr/>
        <w:t>PROCEEDS OF SALE; CLOSING PROCEDURE:  The Deed shall be recorded upon clearance of funds and evidence of title continued at Buyer's expense, to show title in Buyer, without any encumbrances or change which would render Seller's title unmarketable from the date of the last evidence.</w:t>
      </w:r>
    </w:p>
    <w:p>
      <w:pPr>
        <w:pStyle w:val="TextBody"/>
        <w:numPr>
          <w:ilvl w:val="0"/>
          <w:numId w:val="1"/>
        </w:numPr>
        <w:rPr/>
      </w:pPr>
      <w:r>
        <w:rPr/>
        <w:t>OTHER AGREEMENTS:  No prior or present agreements or representations shall be binding upon BUYER or SELLER unless included in this Contract. No modifications or changes in this Contract shall be valid or binding upon the parties unless in writing and executed by the party or parties to be bound thereby.</w:t>
      </w:r>
    </w:p>
    <w:p>
      <w:pPr>
        <w:pStyle w:val="TextBody"/>
        <w:numPr>
          <w:ilvl w:val="0"/>
          <w:numId w:val="1"/>
        </w:numPr>
        <w:rPr/>
      </w:pPr>
      <w:r>
        <w:rPr/>
        <w:t>FAILURE OF PERFORMANCE: If the BUYER fails to perform this Contract within the time specified the deposit(s) paid by the BUYER may be retained by or for the account of the SELLER as liquidated damages, consideration for the execution of this Contract and in full settlement of any claims;  whereupon BUYER and SELLER shall be relieved of all obligations under the Contract; or SELLER, at SELLER's option, may proceed at law or in equity to enforce SELLER's legal rights under this Contract.  If, for any reason other that failure of SELLER to make SELLER's title marketable after diligent effort, SELLER fails, neglects or refuses to perform this Contract, the BUYER may seek specific performance or elect to receive the return of BUYER's deposit(s) without thereby waiving any action or damages resulting from SELLER's breach.</w:t>
      </w:r>
    </w:p>
    <w:p>
      <w:pPr>
        <w:pStyle w:val="TextBody"/>
        <w:numPr>
          <w:ilvl w:val="0"/>
          <w:numId w:val="1"/>
        </w:numPr>
        <w:rPr/>
      </w:pPr>
      <w:r>
        <w:rPr/>
        <w:t>TYPEWRITTEN OR HANDWRITTEN PROVISIONS: Typewritten or handwritten provisions inserted herein or attached hereto as addenda shall control all printed provisions of this contract in conflict therewith.</w:t>
      </w:r>
    </w:p>
    <w:p>
      <w:pPr>
        <w:pStyle w:val="TextBody"/>
        <w:numPr>
          <w:ilvl w:val="0"/>
          <w:numId w:val="1"/>
        </w:numPr>
        <w:rPr/>
      </w:pPr>
      <w:r>
        <w:rPr/>
        <w:t>THIS IS INTENDED TO BE A LEGALLY BINDING CONTRACT.  DO NOT SIGN IF THERE ARE BLANK SPACES NOT FILLED IN.  IF NOT FULLY UNDERSTOOD, SEEK THE ADVICE OF AN ATTORNEY PRIOR TO SIGNING.</w:t>
      </w:r>
    </w:p>
    <w:p>
      <w:pPr>
        <w:pStyle w:val="TextBody"/>
        <w:numPr>
          <w:ilvl w:val="0"/>
          <w:numId w:val="1"/>
        </w:numPr>
        <w:rPr/>
      </w:pPr>
      <w:r>
        <w:rPr/>
        <w:t>PROPERTY TAX DISCLOSURE SUMMARY:  BUYER SHOULD NOT RELY ON THE SELLER'S CURRENT PROPERTY TAXES AS THE AMOUNT OF PROPERTY TAXES THAT THE BUYER MAY BE OBLIGATED TO PAY IN THE YEAR SUBSEQUENT TO PURCHASE. A CHANGE OF OWNERSHIP OR PROPERTY IMPROVEMENTS TRIGGERS REASSESSMENTS OF THE PROPERTY THAT COULD RESULT IN HIGHER PROPERTY TAXES. IF YOU HAVE ANY QUESTIONS CONCERNING VALUATION, CONTACT THE COUNTY PROPERTY APPRAISER'S OFFICE FOR INFORMATION.</w:t>
      </w:r>
    </w:p>
    <w:p>
      <w:pPr>
        <w:pStyle w:val="Normal"/>
        <w:rPr/>
      </w:pPr>
      <w:r>
        <w:rPr/>
      </w:r>
    </w:p>
    <w:p>
      <w:pPr>
        <w:pStyle w:val="Normal"/>
        <w:rPr/>
      </w:pPr>
      <w:r>
        <w:rPr/>
        <w:t>IN WITNESS WHEREOF,  the parties hereto agree to the above terms and have either directly executed this Contract or have caused it to be executed in their name by a duly authorized agent</w:t>
      </w:r>
    </w:p>
    <w:p>
      <w:pPr>
        <w:pStyle w:val="Normal"/>
        <w:rPr/>
      </w:pPr>
      <w:r>
        <w:rPr/>
      </w:r>
    </w:p>
    <w:p>
      <w:pPr>
        <w:pStyle w:val="Normal"/>
        <w:rPr/>
      </w:pPr>
      <w:r>
        <w:rPr/>
        <w:t>SELLER:  &lt;**enter name**&gt;</w:t>
      </w:r>
    </w:p>
    <w:p>
      <w:pPr>
        <w:pStyle w:val="Normal"/>
        <w:rPr/>
      </w:pPr>
      <w:r>
        <w:rPr/>
      </w:r>
    </w:p>
    <w:p>
      <w:pPr>
        <w:pStyle w:val="Normal"/>
        <w:rPr/>
      </w:pPr>
      <w:r>
        <w:rPr/>
        <w:t>By: ____________________________             Date:  ___________</w:t>
      </w:r>
    </w:p>
    <w:p>
      <w:pPr>
        <w:pStyle w:val="Normal"/>
        <w:rPr/>
      </w:pPr>
      <w:r>
        <w:rPr/>
        <w:t xml:space="preserve">      </w:t>
      </w:r>
      <w:r>
        <w:rPr/>
        <w:t>President</w:t>
      </w:r>
    </w:p>
    <w:p>
      <w:pPr>
        <w:pStyle w:val="Normal"/>
        <w:rPr/>
      </w:pPr>
      <w:r>
        <w:rPr/>
      </w:r>
    </w:p>
    <w:p>
      <w:pPr>
        <w:pStyle w:val="Normal"/>
        <w:rPr/>
      </w:pPr>
      <w:r>
        <w:rPr/>
      </w:r>
    </w:p>
    <w:p>
      <w:pPr>
        <w:pStyle w:val="Normal"/>
        <w:rPr/>
      </w:pPr>
      <w:r>
        <w:rPr/>
      </w:r>
    </w:p>
    <w:p>
      <w:pPr>
        <w:pStyle w:val="Normal"/>
        <w:rPr/>
      </w:pPr>
      <w:r>
        <w:rPr/>
        <w:t>BUYER: &lt;**enter name**&gt;</w:t>
      </w:r>
    </w:p>
    <w:p>
      <w:pPr>
        <w:pStyle w:val="Normal"/>
        <w:rPr/>
      </w:pPr>
      <w:r>
        <w:rPr/>
      </w:r>
    </w:p>
    <w:p>
      <w:pPr>
        <w:pStyle w:val="Normal"/>
        <w:rPr/>
      </w:pPr>
      <w:r>
        <w:rPr/>
        <w:t>By: ____________________________             Date:  ___________</w:t>
      </w:r>
    </w:p>
    <w:p>
      <w:pPr>
        <w:pStyle w:val="Normal"/>
        <w:rPr/>
      </w:pPr>
      <w:r>
        <w:rPr/>
        <w:t xml:space="preserve">       </w:t>
      </w:r>
      <w:r>
        <w:rPr/>
        <w:t>President</w:t>
      </w:r>
    </w:p>
    <w:p>
      <w:pPr>
        <w:pStyle w:val="Normal"/>
        <w:rPr/>
      </w:pPr>
      <w:r>
        <w:rPr/>
      </w:r>
    </w:p>
    <w:sectPr>
      <w:footerReference w:type="default" r:id="rId2"/>
      <w:type w:val="nextPage"/>
      <w:pgSz w:w="12240" w:h="15840"/>
      <w:pgMar w:left="1440" w:right="1440" w:header="0" w:top="1440" w:footer="657" w:bottom="1254" w:gutter="0"/>
      <w:pgNumType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swiss"/>
    <w:pitch w:val="default"/>
  </w:font>
  <w:font w:name="Carlito">
    <w:altName w:val="Calibri"/>
    <w:charset w:val="01"/>
    <w:family w:val="swiss"/>
    <w:pitch w:val="default"/>
  </w:font>
  <w:font w:name="Arial Narrow">
    <w:charset w:val="01"/>
    <w:family w:val="swiss"/>
    <w:pitch w:val="default"/>
  </w:font>
  <w:font w:name="Arial">
    <w:charset w:val="01"/>
    <w:family w:val="swiss"/>
    <w:pitch w:val="default"/>
  </w:font>
  <w:font w:name="OpenSymbol">
    <w:altName w:val="Arial Unicode MS"/>
    <w:charset w:val="01"/>
    <w:family w:val="swiss"/>
    <w:pitch w:val="default"/>
  </w:font>
  <w:font w:name="Courier New">
    <w:charset w:val="01"/>
    <w:family w:val="swiss"/>
    <w:pitch w:val="default"/>
  </w:font>
  <w:font w:name="Calibri">
    <w:charset w:val="01"/>
    <w:family w:val="swiss"/>
    <w:pitch w:val="default"/>
  </w:font>
  <w:font w:name="StarSymbol">
    <w:altName w:val="Arial Unicode MS"/>
    <w:charset w:val="01"/>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instrText> PAGE </w:instrText>
    </w:r>
    <w:r>
      <w:fldChar w:fldCharType="separate"/>
    </w:r>
    <w:r>
      <w:t>6</w:t>
    </w:r>
    <w: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720"/>
      </w:pPr>
    </w:lvl>
    <w:lvl w:ilvl="1">
      <w:start w:val="1"/>
      <w:numFmt w:val="upperLetter"/>
      <w:lvlText w:val="%2."/>
      <w:lvlJc w:val="left"/>
      <w:pPr>
        <w:tabs>
          <w:tab w:val="num" w:pos="1080"/>
        </w:tabs>
        <w:ind w:left="1080" w:hanging="360"/>
      </w:pPr>
    </w:lvl>
    <w:lvl w:ilvl="2">
      <w:start w:val="1"/>
      <w:numFmt w:val="lowerLetter"/>
      <w:lvlText w:val="%3."/>
      <w:lvlJc w:val="left"/>
      <w:pPr>
        <w:tabs>
          <w:tab w:val="num" w:pos="1584"/>
        </w:tabs>
        <w:ind w:left="1584" w:hanging="504"/>
      </w:pPr>
    </w:lvl>
    <w:lvl w:ilvl="3">
      <w:start w:val="1"/>
      <w:numFmt w:val="lowerRoman"/>
      <w:lvlText w:val="%4."/>
      <w:lvlJc w:val="left"/>
      <w:pPr>
        <w:tabs>
          <w:tab w:val="num" w:pos="1872"/>
        </w:tabs>
        <w:ind w:left="1872" w:hanging="360"/>
      </w:pPr>
    </w:lvl>
    <w:lvl w:ilvl="4">
      <w:start w:val="1"/>
      <w:numFmt w:val="bullet"/>
      <w:lvlText w:val="◦"/>
      <w:lvlJc w:val="left"/>
      <w:pPr>
        <w:tabs>
          <w:tab w:val="num" w:pos="2160"/>
        </w:tabs>
        <w:ind w:left="2160" w:hanging="360"/>
      </w:pPr>
      <w:rPr>
        <w:rFonts w:ascii="StarSymbol" w:hAnsi="StarSymbol" w:cs="StarSymbol" w:hint="default"/>
        <w:rFonts w:cs="OpenSymbol"/>
      </w:rPr>
    </w:lvl>
    <w:lvl w:ilvl="5">
      <w:start w:val="1"/>
      <w:numFmt w:val="bullet"/>
      <w:lvlText w:val="▪"/>
      <w:lvlJc w:val="left"/>
      <w:pPr>
        <w:tabs>
          <w:tab w:val="num" w:pos="2520"/>
        </w:tabs>
        <w:ind w:left="2520" w:hanging="360"/>
      </w:pPr>
      <w:rPr>
        <w:rFonts w:ascii="StarSymbol" w:hAnsi="StarSymbol" w:cs="Star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tarSymbol" w:hAnsi="StarSymbol" w:cs="StarSymbol" w:hint="default"/>
        <w:rFonts w:cs="OpenSymbol"/>
      </w:rPr>
    </w:lvl>
    <w:lvl w:ilvl="8">
      <w:start w:val="1"/>
      <w:numFmt w:val="bullet"/>
      <w:lvlText w:val="▪"/>
      <w:lvlJc w:val="left"/>
      <w:pPr>
        <w:tabs>
          <w:tab w:val="num" w:pos="3600"/>
        </w:tabs>
        <w:ind w:left="3600" w:hanging="360"/>
      </w:pPr>
      <w:rPr>
        <w:rFonts w:ascii="StarSymbol" w:hAnsi="StarSymbol" w:cs="StarSymbol" w:hint="default"/>
        <w:rFonts w:cs="OpenSymbol"/>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1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FreeSans"/>
        <w:sz w:val="24"/>
        <w:szCs w:val="24"/>
        <w:lang w:val="en-US" w:eastAsia="zh-CN" w:bidi="hi-IN"/>
      </w:rPr>
    </w:rPrDefault>
    <w:pPrDefault>
      <w:pPr/>
    </w:pPrDefault>
  </w:docDefaults>
  <w:style w:type="paragraph" w:styleId="Normal">
    <w:name w:val="Normal"/>
    <w:qFormat/>
    <w:pPr>
      <w:widowControl w:val="false"/>
      <w:suppressAutoHyphens w:val="false"/>
      <w:overflowPunct w:val="false"/>
      <w:bidi w:val="0"/>
      <w:jc w:val="both"/>
    </w:pPr>
    <w:rPr>
      <w:rFonts w:ascii="Carlito" w:hAnsi="Carlito" w:eastAsia="DejaVu Sans" w:cs="FreeSans"/>
      <w:color w:val="00000A"/>
      <w:sz w:val="22"/>
      <w:szCs w:val="24"/>
      <w:lang w:val="en-US" w:eastAsia="zh-CN" w:bidi="hi-IN"/>
    </w:rPr>
  </w:style>
  <w:style w:type="paragraph" w:styleId="Heading1">
    <w:name w:val="Heading 1"/>
    <w:basedOn w:val="Normal"/>
    <w:qFormat/>
    <w:pPr>
      <w:keepNext/>
      <w:keepLines/>
      <w:widowControl/>
      <w:outlineLvl w:val="0"/>
    </w:pPr>
    <w:rPr>
      <w:rFonts w:ascii="Arial Narrow" w:hAnsi="Arial Narrow" w:cs="Arial Narrow"/>
      <w:b/>
      <w:bCs/>
    </w:rPr>
  </w:style>
  <w:style w:type="paragraph" w:styleId="Heading2">
    <w:name w:val="Heading 2"/>
    <w:basedOn w:val="Normal"/>
    <w:qFormat/>
    <w:pPr>
      <w:keepNext/>
      <w:spacing w:before="240" w:after="60"/>
      <w:outlineLvl w:val="1"/>
    </w:pPr>
    <w:rPr>
      <w:rFonts w:ascii="Arial" w:hAnsi="Arial" w:cs="Arial"/>
      <w:b/>
      <w:bCs/>
      <w:i/>
      <w:iCs/>
      <w:sz w:val="28"/>
      <w:szCs w:val="28"/>
    </w:rPr>
  </w:style>
  <w:style w:type="paragraph" w:styleId="Heading3">
    <w:name w:val="Heading 3"/>
    <w:basedOn w:val="Normal"/>
    <w:qFormat/>
    <w:pPr>
      <w:keepNext/>
      <w:spacing w:before="240" w:after="60"/>
      <w:outlineLvl w:val="2"/>
    </w:pPr>
    <w:rPr>
      <w:rFonts w:ascii="Arial" w:hAnsi="Arial" w:cs="Arial"/>
      <w:b/>
      <w:bCs/>
      <w:sz w:val="26"/>
      <w:szCs w:val="26"/>
    </w:rPr>
  </w:style>
  <w:style w:type="paragraph" w:styleId="Heading6">
    <w:name w:val="Heading 6"/>
    <w:basedOn w:val="Normal"/>
    <w:qFormat/>
    <w:pPr>
      <w:spacing w:before="240" w:after="60"/>
      <w:outlineLvl w:val="5"/>
    </w:pPr>
    <w:rPr>
      <w:b/>
      <w:bCs/>
      <w:sz w:val="22"/>
      <w:szCs w:val="22"/>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AIAHeadingRegistered">
    <w:name w:val="AIA Heading Registered"/>
    <w:qFormat/>
    <w:rPr>
      <w:rFonts w:ascii="Courier New" w:hAnsi="Courier New" w:cs="Courier New"/>
      <w:sz w:val="20"/>
      <w:szCs w:val="20"/>
      <w:vertAlign w:val="superscript"/>
    </w:rPr>
  </w:style>
  <w:style w:type="character" w:styleId="AIAHeadingTrademark">
    <w:name w:val="AIA Heading Trademark"/>
    <w:qFormat/>
    <w:rPr>
      <w:rFonts w:ascii="Courier New" w:hAnsi="Courier New" w:cs="Courier New"/>
      <w:sz w:val="20"/>
      <w:szCs w:val="20"/>
      <w:vertAlign w:val="superscript"/>
    </w:rPr>
  </w:style>
  <w:style w:type="character" w:styleId="AIAEmphasis">
    <w:name w:val="AIA Emphasis"/>
    <w:qFormat/>
    <w:rPr>
      <w:rFonts w:ascii="Arial Narrow" w:hAnsi="Arial Narrow" w:cs="Arial Narrow"/>
      <w:b/>
      <w:bCs/>
      <w:sz w:val="20"/>
      <w:szCs w:val="20"/>
    </w:rPr>
  </w:style>
  <w:style w:type="character" w:styleId="AIAFillPointText">
    <w:name w:val="AIA FillPoint Text"/>
    <w:qFormat/>
    <w:rPr>
      <w:rFonts w:ascii="Times New Roman" w:hAnsi="Times New Roman" w:cs="Times New Roman"/>
      <w:color w:val="00000A"/>
      <w:sz w:val="20"/>
      <w:szCs w:val="20"/>
      <w:highlight w:val="lightGray"/>
      <w:u w:val="none"/>
    </w:rPr>
  </w:style>
  <w:style w:type="character" w:styleId="AIAParagraphNumber">
    <w:name w:val="AIA Paragraph Number"/>
    <w:qFormat/>
    <w:rPr>
      <w:rFonts w:ascii="Arial Narrow" w:hAnsi="Arial Narrow" w:cs="Arial Narrow"/>
      <w:b/>
      <w:bCs/>
      <w:sz w:val="20"/>
      <w:szCs w:val="20"/>
    </w:rPr>
  </w:style>
  <w:style w:type="character" w:styleId="DefaultParagraphFont">
    <w:name w:val="Default Paragraph Font"/>
    <w:qFormat/>
    <w:rPr/>
  </w:style>
  <w:style w:type="character" w:styleId="AIACheckbox">
    <w:name w:val="AIA Checkbox"/>
    <w:basedOn w:val="DefaultParagraphFont"/>
    <w:qFormat/>
    <w:rPr>
      <w:rFonts w:ascii="Arial" w:hAnsi="Arial" w:cs="Arial"/>
      <w:sz w:val="20"/>
      <w:szCs w:val="20"/>
    </w:rPr>
  </w:style>
  <w:style w:type="character" w:styleId="AIAFillPointCheckbox">
    <w:name w:val="AIA FillPoint Checkbox"/>
    <w:basedOn w:val="DefaultParagraphFont"/>
    <w:qFormat/>
    <w:rPr>
      <w:rFonts w:ascii="Arial Narrow" w:hAnsi="Arial Narrow" w:cs="Arial Narrow"/>
      <w:b/>
      <w:bCs/>
      <w:caps/>
      <w:sz w:val="22"/>
      <w:szCs w:val="22"/>
      <w:highlight w:val="lightGray"/>
    </w:rPr>
  </w:style>
  <w:style w:type="character" w:styleId="InternetLink">
    <w:name w:val="Internet Link"/>
    <w:rPr>
      <w:color w:val="000080"/>
      <w:u w:val="single"/>
      <w:lang w:val="zxx" w:eastAsia="zxx" w:bidi="zxx"/>
    </w:rPr>
  </w:style>
  <w:style w:type="character" w:styleId="ListLabel1">
    <w:name w:val="ListLabel 1"/>
    <w:qFormat/>
    <w:rPr>
      <w:rFonts w:eastAsia="Calibri" w:cs="Times New Roman"/>
    </w:rPr>
  </w:style>
  <w:style w:type="character" w:styleId="AIAIndexBoldChar2">
    <w:name w:val="AIA Index Bold Char2"/>
    <w:qFormat/>
    <w:rPr>
      <w:rFonts w:cs="Times New Roman"/>
      <w:b/>
      <w:bCs/>
    </w:rPr>
  </w:style>
  <w:style w:type="character" w:styleId="ListLabel2">
    <w:name w:val="ListLabel 2"/>
    <w:qFormat/>
    <w:rPr>
      <w:sz w:val="20"/>
    </w:rPr>
  </w:style>
  <w:style w:type="character" w:styleId="DeltaViewInsertion">
    <w:name w:val="DeltaView Insertion"/>
    <w:qFormat/>
    <w:rPr>
      <w:color w:val="0000FF"/>
      <w:spacing w:val="0"/>
      <w:u w:val="double"/>
    </w:rPr>
  </w:style>
  <w:style w:type="character" w:styleId="ListLabel3">
    <w:name w:val="ListLabel 3"/>
    <w:qFormat/>
    <w:rPr>
      <w:rFonts w:cs="Times New Roman"/>
    </w:rPr>
  </w:style>
  <w:style w:type="character" w:styleId="ListLabel4">
    <w:name w:val="ListLabel 4"/>
    <w:qFormat/>
    <w:rPr>
      <w:rFonts w:cs="Open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character" w:styleId="ListLabel10">
    <w:name w:val="ListLabel 10"/>
    <w:qFormat/>
    <w:rPr>
      <w:rFonts w:cs="OpenSymbol"/>
    </w:rPr>
  </w:style>
  <w:style w:type="character" w:styleId="ListLabel11">
    <w:name w:val="ListLabel 11"/>
    <w:qFormat/>
    <w:rPr>
      <w:rFonts w:cs="OpenSymbol"/>
    </w:rPr>
  </w:style>
  <w:style w:type="character" w:styleId="ListLabel12">
    <w:name w:val="ListLabel 12"/>
    <w:qFormat/>
    <w:rPr>
      <w:rFonts w:cs="OpenSymbol"/>
    </w:rPr>
  </w:style>
  <w:style w:type="character" w:styleId="ListLabel13">
    <w:name w:val="ListLabel 13"/>
    <w:qFormat/>
    <w:rPr>
      <w:rFonts w:cs="OpenSymbol"/>
    </w:rPr>
  </w:style>
  <w:style w:type="character" w:styleId="ListLabel14">
    <w:name w:val="ListLabel 14"/>
    <w:qFormat/>
    <w:rPr>
      <w:rFonts w:cs="OpenSymbol"/>
    </w:rPr>
  </w:style>
  <w:style w:type="character" w:styleId="ListLabel15">
    <w:name w:val="ListLabel 15"/>
    <w:qFormat/>
    <w:rPr>
      <w:rFonts w:cs="OpenSymbol"/>
    </w:rPr>
  </w:style>
  <w:style w:type="character" w:styleId="ListLabel16">
    <w:name w:val="ListLabel 16"/>
    <w:qFormat/>
    <w:rPr>
      <w:rFonts w:cs="OpenSymbol"/>
    </w:rPr>
  </w:style>
  <w:style w:type="character" w:styleId="ListLabel17">
    <w:name w:val="ListLabel 17"/>
    <w:qFormat/>
    <w:rPr>
      <w:rFonts w:cs="OpenSymbol"/>
    </w:rPr>
  </w:style>
  <w:style w:type="character" w:styleId="ListLabel18">
    <w:name w:val="ListLabel 18"/>
    <w:qFormat/>
    <w:rPr>
      <w:rFonts w:cs="OpenSymbol"/>
    </w:rPr>
  </w:style>
  <w:style w:type="character" w:styleId="ListLabel19">
    <w:name w:val="ListLabel 19"/>
    <w:qFormat/>
    <w:rPr>
      <w:rFonts w:cs="OpenSymbol"/>
    </w:rPr>
  </w:style>
  <w:style w:type="character" w:styleId="ListLabel20">
    <w:name w:val="ListLabel 20"/>
    <w:qFormat/>
    <w:rPr>
      <w:rFonts w:cs="OpenSymbol"/>
    </w:rPr>
  </w:style>
  <w:style w:type="character" w:styleId="ListLabel21">
    <w:name w:val="ListLabel 21"/>
    <w:qFormat/>
    <w:rPr>
      <w:rFonts w:cs="OpenSymbol"/>
    </w:rPr>
  </w:style>
  <w:style w:type="character" w:styleId="ListLabel22">
    <w:name w:val="ListLabel 22"/>
    <w:qFormat/>
    <w:rPr>
      <w:rFonts w:cs="OpenSymbol"/>
    </w:rPr>
  </w:style>
  <w:style w:type="character" w:styleId="ListLabel23">
    <w:name w:val="ListLabel 23"/>
    <w:qFormat/>
    <w:rPr>
      <w:rFonts w:cs="OpenSymbol"/>
    </w:rPr>
  </w:style>
  <w:style w:type="character" w:styleId="ListLabel24">
    <w:name w:val="ListLabel 24"/>
    <w:qFormat/>
    <w:rPr>
      <w:rFonts w:cs="OpenSymbol"/>
    </w:rPr>
  </w:style>
  <w:style w:type="paragraph" w:styleId="Heading">
    <w:name w:val="Heading"/>
    <w:basedOn w:val="Normal"/>
    <w:next w:val="TextBody"/>
    <w:qFormat/>
    <w:pPr>
      <w:keepNext/>
      <w:spacing w:before="240" w:after="120"/>
    </w:pPr>
    <w:rPr>
      <w:rFonts w:ascii="Arial" w:hAnsi="Arial" w:eastAsia="DejaVu Sans" w:cs="DejaVu Sans"/>
      <w:sz w:val="28"/>
      <w:szCs w:val="28"/>
    </w:rPr>
  </w:style>
  <w:style w:type="paragraph" w:styleId="TextBody">
    <w:name w:val="Body Text"/>
    <w:basedOn w:val="Normal"/>
    <w:pPr>
      <w:spacing w:before="0" w:after="144"/>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Footer">
    <w:name w:val="Footer"/>
    <w:basedOn w:val="Normal"/>
    <w:pPr>
      <w:suppressLineNumbers/>
      <w:tabs>
        <w:tab w:val="center" w:pos="4986" w:leader="none"/>
        <w:tab w:val="right" w:pos="9972" w:leader="none"/>
      </w:tabs>
      <w:jc w:val="center"/>
    </w:pPr>
    <w:rPr>
      <w:sz w:val="18"/>
    </w:rPr>
  </w:style>
  <w:style w:type="paragraph" w:styleId="ListBullet4">
    <w:name w:val="List Bullet 4"/>
    <w:basedOn w:val="List"/>
    <w:qFormat/>
    <w:pPr>
      <w:spacing w:before="0" w:after="120"/>
      <w:ind w:left="14" w:right="0" w:hanging="360"/>
    </w:pPr>
    <w:rPr/>
  </w:style>
  <w:style w:type="paragraph" w:styleId="Numbering1Cont">
    <w:name w:val="Numbering 1 Cont."/>
    <w:basedOn w:val="List"/>
    <w:qFormat/>
    <w:pPr>
      <w:spacing w:before="0" w:after="120"/>
      <w:outlineLvl w:val="0"/>
    </w:pPr>
    <w:rPr/>
  </w:style>
  <w:style w:type="paragraph" w:styleId="ListParagraph">
    <w:name w:val="List Paragraph"/>
    <w:basedOn w:val="Normal"/>
    <w:qFormat/>
    <w:pPr>
      <w:widowControl/>
      <w:spacing w:lineRule="auto" w:line="276" w:before="0" w:after="200"/>
      <w:ind w:left="720" w:right="0" w:hanging="0"/>
    </w:pPr>
    <w:rPr>
      <w:rFonts w:ascii="Calibri" w:hAnsi="Calibri" w:eastAsia="Calibri"/>
      <w:sz w:val="22"/>
      <w:szCs w:val="22"/>
    </w:rPr>
  </w:style>
  <w:style w:type="paragraph" w:styleId="Style23">
    <w:name w:val="Style 23"/>
    <w:basedOn w:val="Normal"/>
    <w:qFormat/>
    <w:pPr>
      <w:widowControl/>
      <w:suppressAutoHyphens w:val="false"/>
    </w:pPr>
    <w:rPr>
      <w:sz w:val="24"/>
    </w:rPr>
  </w:style>
  <w:style w:type="paragraph" w:styleId="Style0">
    <w:name w:val="Style 0"/>
    <w:basedOn w:val="Normal"/>
    <w:qFormat/>
    <w:pPr>
      <w:widowControl/>
      <w:suppressAutoHyphens w:val="false"/>
    </w:pPr>
    <w:rPr>
      <w:sz w:val="24"/>
    </w:rPr>
  </w:style>
  <w:style w:type="paragraph" w:styleId="Header">
    <w:name w:val="Header"/>
    <w:basedOn w:val="Normal"/>
    <w:pPr>
      <w:suppressLineNumbers/>
      <w:tabs>
        <w:tab w:val="center" w:pos="4680" w:leader="none"/>
        <w:tab w:val="right" w:pos="9360" w:leader="none"/>
      </w:tabs>
    </w:pPr>
    <w:rPr/>
  </w:style>
  <w:style w:type="paragraph" w:styleId="NormalWeb">
    <w:name w:val="Normal (Web)"/>
    <w:basedOn w:val="Normal"/>
    <w:qFormat/>
    <w:pPr>
      <w:widowControl/>
      <w:spacing w:before="280" w:after="280"/>
    </w:pPr>
    <w:rPr>
      <w:sz w:val="24"/>
      <w:szCs w:val="24"/>
    </w:rPr>
  </w:style>
  <w:style w:type="paragraph" w:styleId="TableContents">
    <w:name w:val="Table Contents"/>
    <w:basedOn w:val="Normal"/>
    <w:qFormat/>
    <w:pPr>
      <w:suppressLineNumbers/>
    </w:pPr>
    <w:rPr/>
  </w:style>
  <w:style w:type="paragraph" w:styleId="TextBodyIndent">
    <w:name w:val="Body Text Indent"/>
    <w:basedOn w:val="Normal"/>
    <w:pPr>
      <w:spacing w:before="0" w:after="120"/>
      <w:ind w:left="360" w:right="0" w:hanging="0"/>
    </w:pPr>
    <w:rPr/>
  </w:style>
  <w:style w:type="paragraph" w:styleId="HorizontalLine">
    <w:name w:val="Horizontal Line"/>
    <w:basedOn w:val="Normal"/>
    <w:qFormat/>
    <w:pPr>
      <w:suppressLineNumbers/>
      <w:pBdr>
        <w:bottom w:val="double" w:sz="2" w:space="0" w:color="808080"/>
      </w:pBdr>
      <w:spacing w:before="0" w:after="283"/>
    </w:pPr>
    <w:rPr>
      <w:sz w:val="12"/>
      <w:szCs w:val="12"/>
    </w:rPr>
  </w:style>
  <w:style w:type="paragraph" w:styleId="Title">
    <w:name w:val="Title"/>
    <w:basedOn w:val="Normal"/>
    <w:next w:val="Subtitle"/>
    <w:qFormat/>
    <w:pPr>
      <w:widowControl/>
      <w:jc w:val="center"/>
    </w:pPr>
    <w:rPr>
      <w:b/>
      <w:bCs/>
      <w:sz w:val="24"/>
      <w:szCs w:val="24"/>
    </w:rPr>
  </w:style>
  <w:style w:type="paragraph" w:styleId="Subtitle">
    <w:name w:val="Subtitle"/>
    <w:basedOn w:val="Heading"/>
    <w:qFormat/>
    <w:pPr>
      <w:jc w:val="center"/>
    </w:pPr>
    <w:rPr>
      <w:i/>
      <w:iCs/>
      <w:sz w:val="28"/>
      <w:szCs w:val="28"/>
    </w:rPr>
  </w:style>
  <w:style w:type="paragraph" w:styleId="Addressee">
    <w:name w:val="Envelope Address"/>
    <w:basedOn w:val="Normal"/>
    <w:pPr>
      <w:suppressLineNumbers/>
      <w:spacing w:before="0" w:after="60"/>
    </w:pPr>
    <w:rPr/>
  </w:style>
  <w:style w:type="paragraph" w:styleId="AIAAgreementBodyText">
    <w:name w:val="AIA Agreement Body Text"/>
    <w:qFormat/>
    <w:pPr>
      <w:widowControl/>
      <w:tabs>
        <w:tab w:val="left" w:pos="720" w:leader="none"/>
      </w:tabs>
      <w:overflowPunct w:val="false"/>
      <w:bidi w:val="0"/>
      <w:jc w:val="left"/>
    </w:pPr>
    <w:rPr>
      <w:rFonts w:ascii="Times New Roman" w:hAnsi="Times New Roman" w:eastAsia="DejaVu Sans" w:cs="FreeSans"/>
      <w:color w:val="00000A"/>
      <w:sz w:val="20"/>
      <w:szCs w:val="20"/>
      <w:lang w:val="en-US" w:eastAsia="zh-CN" w:bidi="hi-IN"/>
    </w:rPr>
  </w:style>
  <w:style w:type="paragraph" w:styleId="AIAItalics">
    <w:name w:val="AIA Italics"/>
    <w:basedOn w:val="AIAAgreementBodyText"/>
    <w:qFormat/>
    <w:pPr/>
    <w:rPr>
      <w:i/>
      <w:iCs/>
    </w:rPr>
  </w:style>
  <w:style w:type="paragraph" w:styleId="AIAFillPointParagraph">
    <w:name w:val="AIA FillPoint Paragraph"/>
    <w:qFormat/>
    <w:pPr>
      <w:widowControl/>
      <w:shd w:val="clear" w:fill="C0C0C0"/>
      <w:overflowPunct w:val="false"/>
      <w:bidi w:val="0"/>
      <w:jc w:val="left"/>
    </w:pPr>
    <w:rPr>
      <w:rFonts w:ascii="Times New Roman" w:hAnsi="Times New Roman" w:eastAsia="DejaVu Sans" w:cs="FreeSans"/>
      <w:color w:val="00000A"/>
      <w:sz w:val="20"/>
      <w:szCs w:val="20"/>
      <w:lang w:val="en-US" w:eastAsia="zh-CN" w:bidi="hi-IN"/>
    </w:rPr>
  </w:style>
  <w:style w:type="paragraph" w:styleId="AIATableofArticles">
    <w:name w:val="AIA Table of Articles"/>
    <w:qFormat/>
    <w:pPr>
      <w:widowControl w:val="false"/>
      <w:overflowPunct w:val="false"/>
      <w:bidi w:val="0"/>
      <w:spacing w:before="0" w:after="0"/>
      <w:ind w:left="720" w:right="0" w:hanging="720"/>
      <w:jc w:val="left"/>
    </w:pPr>
    <w:rPr>
      <w:rFonts w:ascii="Times New Roman" w:hAnsi="Times New Roman" w:eastAsia="DejaVu Sans" w:cs="FreeSans"/>
      <w:color w:val="00000A"/>
      <w:sz w:val="24"/>
      <w:szCs w:val="24"/>
      <w:lang w:val="en-US" w:eastAsia="zh-CN" w:bidi="hi-IN"/>
    </w:rPr>
  </w:style>
  <w:style w:type="paragraph" w:styleId="AIABodyTextHanging">
    <w:name w:val="AIA Body Text Hanging"/>
    <w:basedOn w:val="AIAAgreementBodyText"/>
    <w:qFormat/>
    <w:pPr>
      <w:spacing w:before="0" w:after="0"/>
      <w:ind w:left="1188" w:right="0" w:hanging="468"/>
    </w:pPr>
    <w:rPr/>
  </w:style>
  <w:style w:type="paragraph" w:styleId="AIASubheading">
    <w:name w:val="AIA Subheading"/>
    <w:basedOn w:val="AIAAgreementBodyText"/>
    <w:qFormat/>
    <w:pPr>
      <w:keepNext/>
      <w:keepLines/>
    </w:pPr>
    <w:rPr>
      <w:rFonts w:ascii="Arial Narrow" w:hAnsi="Arial Narrow" w:cs="Arial Narrow"/>
      <w:b/>
      <w:bCs/>
    </w:rPr>
  </w:style>
  <w:style w:type="paragraph" w:styleId="AIAAgreementSubHeader1">
    <w:name w:val="AIA Agreement Sub Header 1"/>
    <w:qFormat/>
    <w:pPr>
      <w:widowControl/>
      <w:overflowPunct w:val="false"/>
      <w:bidi w:val="0"/>
      <w:spacing w:before="240" w:after="0"/>
      <w:jc w:val="left"/>
    </w:pPr>
    <w:rPr>
      <w:rFonts w:ascii="Courier New" w:hAnsi="Courier New" w:eastAsia="DejaVu Sans" w:cs="Courier New"/>
      <w:b/>
      <w:bCs/>
      <w:i/>
      <w:iCs/>
      <w:color w:val="00000A"/>
      <w:sz w:val="28"/>
      <w:szCs w:val="28"/>
      <w:lang w:val="en-US" w:eastAsia="zh-CN" w:bidi="hi-IN"/>
    </w:rPr>
  </w:style>
  <w:style w:type="paragraph" w:styleId="AIABodyTextIndented">
    <w:name w:val="AIA Body Text Indented"/>
    <w:basedOn w:val="AIAAgreementBodyText"/>
    <w:qFormat/>
    <w:pPr>
      <w:spacing w:before="0" w:after="0"/>
      <w:ind w:left="720" w:right="0" w:hanging="0"/>
    </w:pPr>
    <w:rPr/>
  </w:style>
  <w:style w:type="paragraph" w:styleId="AIAFillPointParagraphRight">
    <w:name w:val="AIA FillPoint Paragraph Right"/>
    <w:qFormat/>
    <w:pPr>
      <w:widowControl w:val="false"/>
      <w:overflowPunct w:val="false"/>
      <w:bidi w:val="0"/>
      <w:jc w:val="right"/>
    </w:pPr>
    <w:rPr>
      <w:rFonts w:ascii="Times New Roman" w:hAnsi="Times New Roman" w:eastAsia="DejaVu Sans" w:cs="FreeSans"/>
      <w:color w:val="00000A"/>
      <w:sz w:val="24"/>
      <w:szCs w:val="24"/>
      <w:lang w:val="en-US" w:eastAsia="zh-CN" w:bidi="hi-IN"/>
    </w:rPr>
  </w:style>
  <w:style w:type="paragraph" w:styleId="AIAItalicsHanging">
    <w:name w:val="AIA Italics Hanging"/>
    <w:basedOn w:val="AIAItalics"/>
    <w:qFormat/>
    <w:pPr>
      <w:spacing w:before="0" w:after="0"/>
      <w:ind w:left="1191" w:right="0" w:hanging="0"/>
    </w:pPr>
    <w:rPr/>
  </w:style>
  <w:style w:type="paragraph" w:styleId="AIADigitalSignature">
    <w:name w:val="AIA Digital Signature"/>
    <w:qFormat/>
    <w:pPr>
      <w:widowControl/>
      <w:overflowPunct w:val="false"/>
      <w:bidi w:val="0"/>
      <w:spacing w:before="0" w:after="60"/>
      <w:jc w:val="center"/>
    </w:pPr>
    <w:rPr>
      <w:rFonts w:ascii="Arial" w:hAnsi="Arial" w:eastAsia="DejaVu Sans" w:cs="Arial"/>
      <w:b/>
      <w:bCs/>
      <w:color w:val="00000A"/>
      <w:sz w:val="20"/>
      <w:szCs w:val="20"/>
      <w:lang w:val="en-US" w:eastAsia="zh-CN" w:bidi="hi-IN"/>
    </w:rPr>
  </w:style>
  <w:style w:type="paragraph" w:styleId="AIASignatureBlock">
    <w:name w:val="AIA Signature Block"/>
    <w:basedOn w:val="AIAAgreementBodyText"/>
    <w:qFormat/>
    <w:pPr/>
    <w:rPr/>
  </w:style>
  <w:style w:type="paragraph" w:styleId="Quotations">
    <w:name w:val="Quotations"/>
    <w:basedOn w:val="Normal"/>
    <w:qFormat/>
    <w:pPr>
      <w:spacing w:before="0" w:after="283"/>
      <w:ind w:left="567" w:right="567" w:hanging="0"/>
    </w:pPr>
    <w:rPr/>
  </w:style>
  <w:style w:type="paragraph" w:styleId="TableHeading">
    <w:name w:val="Table Heading"/>
    <w:basedOn w:val="TableContents"/>
    <w:qFormat/>
    <w:pPr/>
    <w:rPr/>
  </w:style>
  <w:style w:type="numbering" w:styleId="Numbering1">
    <w:name w:val="Numbering 1"/>
    <w:qFormat/>
  </w:style>
  <w:style w:type="numbering" w:styleId="Numbering2">
    <w:name w:val="Numbering 2"/>
    <w:qFormat/>
  </w:style>
  <w:style w:type="numbering" w:styleId="Numbering4">
    <w:name w:val="Numbering 4"/>
    <w:qFormat/>
  </w:style>
  <w:style w:type="numbering" w:styleId="NumberingABC">
    <w:name w:val="Numbering-ABC"/>
    <w:qFormat/>
  </w:style>
  <w:style w:type="numbering" w:styleId="Numbering11">
    <w:name w:val="Numbering - 1.1"/>
    <w:qFormat/>
  </w:style>
  <w:style w:type="numbering" w:styleId="Numbering1a">
    <w:name w:val="Numbering-1-a"/>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john3</Template>
  <TotalTime>38</TotalTime>
  <Application>LibreOffice/5.1.3.2$Linux_X86_64 LibreOffice_project/10m0$Build-2</Application>
  <Pages>6</Pages>
  <Words>2762</Words>
  <Characters>14176</Characters>
  <CharactersWithSpaces>16972</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2016-05-27T08:53:48Z</dcterms:created>
  <dc:creator>John Little</dc:creator>
  <dc:description/>
  <dc:language>en-US</dc:language>
  <cp:lastModifiedBy>John Little</cp:lastModifiedBy>
  <dcterms:modified xsi:type="dcterms:W3CDTF">2016-05-27T09:44:41Z</dcterms:modified>
  <cp:revision>8</cp:revision>
  <dc:subject/>
  <dc:title/>
</cp:coreProperties>
</file>