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szCs w:val="28"/>
        </w:rPr>
      </w:pPr>
      <w:r>
        <w:rPr>
          <w:b/>
          <w:bCs/>
          <w:sz w:val="28"/>
          <w:szCs w:val="28"/>
        </w:rPr>
        <w:t>NON-DISCLOSURE AGREEMENT</w:t>
      </w:r>
    </w:p>
    <w:p>
      <w:pPr>
        <w:pStyle w:val="Normal"/>
        <w:rPr/>
      </w:pPr>
      <w:r>
        <w:rPr/>
      </w:r>
    </w:p>
    <w:p>
      <w:pPr>
        <w:pStyle w:val="Normal"/>
        <w:rPr/>
      </w:pPr>
      <w:r>
        <w:rPr/>
        <w:t>This Non-Disclosure Agreement (the “Agreement”) is entered into by and between &lt;&lt;</w:t>
      </w:r>
      <w:r>
        <w:rPr>
          <w:shd w:fill="FFFF00" w:val="clear"/>
        </w:rPr>
        <w:t>name</w:t>
      </w:r>
      <w:r>
        <w:rPr/>
        <w:t>&gt;&gt;  (“Disclosing Party”) and the undersigned (“Receiving Party”) for the purpose of preventing the unauthorized disclosure of Confidential Information as defined below.  The parties agree to enter into a confidential relationship with respect to disclosure of certain proprietary and confidential information (“Confidential Information”).</w:t>
      </w:r>
    </w:p>
    <w:p>
      <w:pPr>
        <w:pStyle w:val="Normal"/>
        <w:rPr/>
      </w:pPr>
      <w:r>
        <w:rPr/>
      </w:r>
    </w:p>
    <w:p>
      <w:pPr>
        <w:pStyle w:val="Normal"/>
        <w:rPr/>
      </w:pPr>
      <w:r>
        <w:rPr/>
        <w:t>It is understood and agreed to that Disclosing Party and the Receiving Party would like to exchange certain information that may be considered confidential. To ensure the protection of such information and in consideration of the agreement to exchange said information, the parties agree as follows:</w:t>
      </w:r>
    </w:p>
    <w:p>
      <w:pPr>
        <w:pStyle w:val="Normal"/>
        <w:rPr/>
      </w:pPr>
      <w:r>
        <w:rPr/>
      </w:r>
    </w:p>
    <w:p>
      <w:pPr>
        <w:pStyle w:val="BodyText"/>
        <w:numPr>
          <w:ilvl w:val="0"/>
          <w:numId w:val="2"/>
        </w:numPr>
        <w:rPr/>
      </w:pPr>
      <w:r>
        <w:rPr/>
        <w:t>PROPOSED BUSINESS. This Agreement concerns a business relationship being proposed by the Disclosing Party to the Receiving Party.</w:t>
      </w:r>
    </w:p>
    <w:p>
      <w:pPr>
        <w:pStyle w:val="BodyText"/>
        <w:numPr>
          <w:ilvl w:val="0"/>
          <w:numId w:val="2"/>
        </w:numPr>
        <w:rPr/>
      </w:pPr>
      <w:r>
        <w:rPr/>
        <w:t>DEFINITION OF CONFIDENTIAL INFORMATION.  For the purposes of the Agreement Confidential Information shall include:</w:t>
      </w:r>
    </w:p>
    <w:p>
      <w:pPr>
        <w:pStyle w:val="BodyText"/>
        <w:numPr>
          <w:ilvl w:val="1"/>
          <w:numId w:val="2"/>
        </w:numPr>
        <w:rPr/>
      </w:pPr>
      <w:r>
        <w:rPr/>
        <w:t xml:space="preserve">All information or material that has or could have commercial value or other utility in any business in which Disclosing Party is engaged including any and all technical and business information relating to Disclosing Party’s proprietary ideas, patentable ideas, copyrights and/or trade secrets, existing and/or contemplated products and services, software, schematics, research and development, production, costs, profit and margin information, finances and financial projections, customers, clients, marketing, and current or future business plans and models, regardless of whether such information is designated as </w:t>
      </w:r>
      <w:r>
        <w:rPr/>
        <w:t>"</w:t>
      </w:r>
      <w:r>
        <w:rPr/>
        <w:t>Confidential Information</w:t>
      </w:r>
      <w:r>
        <w:rPr/>
        <w:t>"</w:t>
      </w:r>
      <w:r>
        <w:rPr/>
        <w:t xml:space="preserve"> at the time of its disclosure.</w:t>
      </w:r>
    </w:p>
    <w:p>
      <w:pPr>
        <w:pStyle w:val="BodyText"/>
        <w:numPr>
          <w:ilvl w:val="1"/>
          <w:numId w:val="2"/>
        </w:numPr>
        <w:rPr/>
      </w:pPr>
      <w:r>
        <w:rPr/>
        <w:t>In addition to the above, Confidential Information shall also include, and the Receiving Party shall have a duty to protect, other confidential and/or sensitive information which is (a) disclosed by the Disclosing Party in writing and marked as confidential (or with other similar designation) at the time of disclosure; and/or (b) disclosed by the Disclosing Party in any other manner and identified as confidential at the time of disclosure and is also summarized and designated as confidential in a written memorandum delivered to the Receiving Party within thirty (30) days of the disclosure.</w:t>
      </w:r>
    </w:p>
    <w:p>
      <w:pPr>
        <w:pStyle w:val="BodyText"/>
        <w:numPr>
          <w:ilvl w:val="1"/>
          <w:numId w:val="2"/>
        </w:numPr>
        <w:rPr/>
      </w:pPr>
      <w:r>
        <w:rPr/>
        <w:t>Confidential Information shall not include any of the following:</w:t>
      </w:r>
    </w:p>
    <w:p>
      <w:pPr>
        <w:pStyle w:val="BodyText"/>
        <w:numPr>
          <w:ilvl w:val="2"/>
          <w:numId w:val="2"/>
        </w:numPr>
        <w:rPr/>
      </w:pPr>
      <w:r>
        <w:rPr/>
        <w:t>such information in the public domain at the time of the disclosure, or subsequently comes within the public domain without fault of the Receiving Party;</w:t>
      </w:r>
    </w:p>
    <w:p>
      <w:pPr>
        <w:pStyle w:val="BodyText"/>
        <w:numPr>
          <w:ilvl w:val="2"/>
          <w:numId w:val="2"/>
        </w:numPr>
        <w:rPr/>
      </w:pPr>
      <w:r>
        <w:rPr/>
        <w:t>such information which was in the possession of Receiving Party at the time of disclosure that may be demonstrated by business records of Receiving Party and was not acquired, directly or indirectly, from Disclosing Party; or</w:t>
      </w:r>
    </w:p>
    <w:p>
      <w:pPr>
        <w:pStyle w:val="BodyText"/>
        <w:numPr>
          <w:ilvl w:val="2"/>
          <w:numId w:val="2"/>
        </w:numPr>
        <w:rPr/>
      </w:pPr>
      <w:r>
        <w:rPr/>
        <w:t xml:space="preserve">such information which Receiving Party acquired after the time of disclosure from a third party who did not require Receiving Party to hold the same in confidence and who did not acquire such technical information from Disclosing Party. </w:t>
      </w:r>
    </w:p>
    <w:p>
      <w:pPr>
        <w:pStyle w:val="BodyText"/>
        <w:numPr>
          <w:ilvl w:val="2"/>
          <w:numId w:val="2"/>
        </w:numPr>
        <w:rPr/>
      </w:pPr>
      <w:r>
        <w:rPr/>
        <w:t>Notwithstanding anything in the foregoing to the contrary, the Receiving Party may disclose Confidential Information pursuant to any governmental, judicial, or administrative order, subpoena, discovery request, regulatory request or similar method, provided that the Receiving Party promptly notifies, to the extent practicable, the Disclosing Party in writing of such demand for disclosure so that the Disclosing Party, at its sole expense, may seek to make such disclosure subject to a protective order or other appropriate remedy to preserve the confidentiality of the Confidential Information; provided in the case of a broad regulatory request with respect to the Receiving Party’s business (not targeted at Disclosing Party), the Receiving Party may promptly comply with such request provided the Receiving Party give (if permitted by such regulator) the Disclosing Party prompt notice of such disclosure. The Receiving Party agrees that it shall not oppose and shall cooperate with efforts by, to the extent practicable, the Disclosing Party with respect to any such request for a protective order or other relief. Notwithstanding the foregoing, if the Disclosing Party is unable to obtain or does not seek a protective order and the Receiving Party is legally requested or required to disclose such Confidential Information, disclosure of such Confidential Information may be made without liability.</w:t>
      </w:r>
    </w:p>
    <w:p>
      <w:pPr>
        <w:pStyle w:val="BodyText"/>
        <w:numPr>
          <w:ilvl w:val="0"/>
          <w:numId w:val="2"/>
        </w:numPr>
        <w:rPr/>
      </w:pPr>
      <w:r>
        <w:rPr/>
        <w:t xml:space="preserve">OBLIGATIONS OF RECEIVING PARTY.  Receiving Party hold and maintain the Confidential Information in strictest confidence for the sole and exclusive benefit of the Disclosing Party.  Receiving Party shall carefully restrict access to Confidential Information to employees, contractors and third parties as is reasonably required and shall require those persons to sign non-disclosure restrictions at least as protective as those in this Agreement.  Receiving Party shall not, without prior written approval of Disclosing Party, use for Receiving Party’s own benefit, publish, copy, or otherwise disclose to others, or permit the use by others for their benefit or detriment of Disclosing Party, any Confidential Information.  Receiving Party shall return to Disclosing Party any and all records, notes, and other written, printed, or tangible materials in  its possession pertaining to Confidential Information immediately if Disclosing Party requests it in writing. </w:t>
      </w:r>
    </w:p>
    <w:p>
      <w:pPr>
        <w:pStyle w:val="BodyText"/>
        <w:numPr>
          <w:ilvl w:val="0"/>
          <w:numId w:val="2"/>
        </w:numPr>
        <w:rPr/>
      </w:pPr>
      <w:r>
        <w:rPr/>
        <w:t>DISCLOSURE.  Receiving Party shall limit disclosure of Confidential Information within its own organization to its directors, officers, partners, members and/or employees having a need to know and shall not disclose Confidential Information to any third party (whether an individual, corporation, or other entity) without the prior written consent of Disclosing Party. Receiving Party shall have satisfied its obligations under this paragraph if it takes affirmative measures to ensure compliance with these confidentiality obligations by its employees, agents, consultants and others who are permitted access to or use of the Confidential Information.</w:t>
      </w:r>
    </w:p>
    <w:p>
      <w:pPr>
        <w:pStyle w:val="BodyText"/>
        <w:numPr>
          <w:ilvl w:val="0"/>
          <w:numId w:val="2"/>
        </w:numPr>
        <w:rPr/>
      </w:pPr>
      <w:r>
        <w:rPr/>
        <w:t>RIGHT TO DISCLOSURES.  Disclosing Party warrants that he/she has the right to make the disclosures under this Agreement.</w:t>
      </w:r>
    </w:p>
    <w:p>
      <w:pPr>
        <w:pStyle w:val="BodyText"/>
        <w:numPr>
          <w:ilvl w:val="0"/>
          <w:numId w:val="2"/>
        </w:numPr>
        <w:rPr/>
      </w:pPr>
      <w:r>
        <w:rPr/>
        <w:t>LICENSE.  This Agreement shall not be construed as creating, conveying, transferring, granting or conferring upon the Receiving Party any rights, license or authority in or to the information exchanged, except the limited right to use Confidential Information as specified herein. Furthermore and specifically, no license or conveyance of any intellectual property rights is granted or implied by this Agreement.</w:t>
      </w:r>
    </w:p>
    <w:p>
      <w:pPr>
        <w:pStyle w:val="BodyText"/>
        <w:numPr>
          <w:ilvl w:val="0"/>
          <w:numId w:val="2"/>
        </w:numPr>
        <w:rPr/>
      </w:pPr>
      <w:r>
        <w:rPr/>
        <w:t>BREACH.   If there is a breach or threatened breach of any provision of this Agreement, it is agreed and understood that Disclosing Party will suffer irreparable injury resulting from the unauthorized disclosure of Confidential Information and shall have no adequate remedy in money or other damages and accordingly shall be entitled to injunctive relief; provided however, no specification in this Agreement of any particular remedy shall be construed as a waiver or prohibition of any other remedies in the event of a breach or threatened breach of this Agreement.</w:t>
      </w:r>
    </w:p>
    <w:p>
      <w:pPr>
        <w:pStyle w:val="BodyText"/>
        <w:numPr>
          <w:ilvl w:val="0"/>
          <w:numId w:val="2"/>
        </w:numPr>
        <w:rPr/>
      </w:pPr>
      <w:r>
        <w:rPr/>
        <w:t xml:space="preserve">ENTIRE AGREEMENT.  This Agreement states the entire agreement between the parties concerning the disclosure of Confidential Information and supersedes any prior agreements, understandings, or representations with respect thereto. Any addition or modification to this Agreement must be made in writing and signed by authorized representatives of both parties. This Agreement is made under and shall be construed according to the laws of the State of </w:t>
      </w:r>
      <w:r>
        <w:rPr>
          <w:rFonts w:ascii="Carlito" w:hAnsi="Carlito"/>
          <w:sz w:val="24"/>
        </w:rPr>
        <w:t>Florida</w:t>
      </w:r>
      <w:r>
        <w:rPr/>
        <w:t xml:space="preserve"> U.S.A. In the event that this agreement is breached, any and all disputes must be settled in a court of competent jurisdiction in the State of Florida U.S.A.</w:t>
      </w:r>
    </w:p>
    <w:p>
      <w:pPr>
        <w:pStyle w:val="BodyText"/>
        <w:numPr>
          <w:ilvl w:val="0"/>
          <w:numId w:val="2"/>
        </w:numPr>
        <w:rPr/>
      </w:pPr>
      <w:r>
        <w:rPr/>
        <w:t>SEVERABILITY.  If any of the provisions of this Agreement are found to be unenforceable, the remainder shall be enforced as fully as possible and the unenforceable provision(s) shall be deemed modified to the limited extent required to permit enforcement of the Agreement as a whole.</w:t>
      </w:r>
    </w:p>
    <w:p>
      <w:pPr>
        <w:pStyle w:val="Normal"/>
        <w:rPr/>
      </w:pPr>
      <w:r>
        <w:rPr/>
        <w:t>WHEREFORE, the parties acknowledge that they have read and understand this Agreement and voluntarily accept the duties and obligations set forth herein.</w:t>
      </w:r>
    </w:p>
    <w:p>
      <w:pPr>
        <w:pStyle w:val="Normal"/>
        <w:rPr/>
      </w:pPr>
      <w:r>
        <w:rPr/>
      </w:r>
    </w:p>
    <w:p>
      <w:pPr>
        <w:pStyle w:val="Normal"/>
        <w:rPr>
          <w:b/>
          <w:bCs/>
        </w:rPr>
      </w:pPr>
      <w:r>
        <w:rPr>
          <w:b/>
          <w:bCs/>
        </w:rPr>
        <w:t>Receiving Party</w:t>
      </w:r>
    </w:p>
    <w:p>
      <w:pPr>
        <w:pStyle w:val="Normal"/>
        <w:rPr/>
      </w:pPr>
      <w:r>
        <w:rPr/>
      </w:r>
    </w:p>
    <w:p>
      <w:pPr>
        <w:pStyle w:val="Normal"/>
        <w:ind w:hanging="0" w:start="709" w:end="0"/>
        <w:rPr/>
      </w:pPr>
      <w:r>
        <w:rPr/>
        <w:t>______________________________________</w:t>
        <w:tab/>
        <w:t>Date: _______________</w:t>
      </w:r>
    </w:p>
    <w:p>
      <w:pPr>
        <w:pStyle w:val="Normal"/>
        <w:ind w:hanging="0" w:start="709" w:end="0"/>
        <w:rPr/>
      </w:pPr>
      <w:r>
        <w:rPr/>
        <w:t>signature</w:t>
      </w:r>
    </w:p>
    <w:p>
      <w:pPr>
        <w:pStyle w:val="Normal"/>
        <w:ind w:hanging="0" w:start="709" w:end="0"/>
        <w:rPr/>
      </w:pPr>
      <w:r>
        <w:rPr/>
        <w:t>______________________________________</w:t>
      </w:r>
    </w:p>
    <w:p>
      <w:pPr>
        <w:pStyle w:val="Normal"/>
        <w:ind w:hanging="0" w:start="709" w:end="0"/>
        <w:rPr/>
      </w:pPr>
      <w:r>
        <w:rPr/>
        <w:t xml:space="preserve">legibly print name </w:t>
      </w:r>
    </w:p>
    <w:p>
      <w:pPr>
        <w:pStyle w:val="Normal"/>
        <w:rPr/>
      </w:pPr>
      <w:r>
        <w:rPr/>
      </w:r>
    </w:p>
    <w:p>
      <w:pPr>
        <w:pStyle w:val="Normal"/>
        <w:rPr/>
      </w:pPr>
      <w:r>
        <w:rPr/>
      </w:r>
    </w:p>
    <w:p>
      <w:pPr>
        <w:pStyle w:val="Normal"/>
        <w:rPr>
          <w:b/>
          <w:bCs/>
        </w:rPr>
      </w:pPr>
      <w:r>
        <w:rPr>
          <w:b/>
          <w:bCs/>
        </w:rPr>
        <w:t>Disclosing Party</w:t>
      </w:r>
    </w:p>
    <w:p>
      <w:pPr>
        <w:pStyle w:val="Normal"/>
        <w:rPr/>
      </w:pPr>
      <w:r>
        <w:rPr/>
      </w:r>
    </w:p>
    <w:p>
      <w:pPr>
        <w:pStyle w:val="Normal"/>
        <w:ind w:hanging="0" w:start="709" w:end="0"/>
        <w:rPr/>
      </w:pPr>
      <w:r>
        <w:rPr/>
        <w:t>______________________________________</w:t>
        <w:tab/>
        <w:t>Date: _______________</w:t>
      </w:r>
    </w:p>
    <w:p>
      <w:pPr>
        <w:pStyle w:val="Normal"/>
        <w:ind w:hanging="0" w:start="709" w:end="0"/>
        <w:rPr/>
      </w:pPr>
      <w:r>
        <w:rPr/>
        <w:t>signature</w:t>
      </w:r>
    </w:p>
    <w:p>
      <w:pPr>
        <w:pStyle w:val="Normal"/>
        <w:ind w:hanging="0" w:start="709" w:end="0"/>
        <w:rPr/>
      </w:pPr>
      <w:r>
        <w:rPr/>
        <w:t>______________________________________</w:t>
      </w:r>
    </w:p>
    <w:p>
      <w:pPr>
        <w:pStyle w:val="Normal"/>
        <w:ind w:hanging="0" w:start="709" w:end="0"/>
        <w:rPr/>
      </w:pPr>
      <w:r>
        <w:rPr/>
        <w:t xml:space="preserve">legibly print name </w:t>
      </w:r>
    </w:p>
    <w:sectPr>
      <w:footerReference w:type="even" r:id="rId2"/>
      <w:footerReference w:type="default" r:id="rId3"/>
      <w:footerReference w:type="first" r:id="rId4"/>
      <w:type w:val="nextPage"/>
      <w:pgSz w:w="12240" w:h="15840"/>
      <w:pgMar w:left="1440" w:right="1440" w:gutter="0" w:header="0" w:top="1440" w:footer="657" w:bottom="1254"/>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Liberation Sans">
    <w:altName w:val="Arial"/>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roman"/>
    <w:pitch w:val="default"/>
  </w:font>
  <w:font w:name="Courier New">
    <w:charset w:val="01"/>
    <w:family w:val="swiss"/>
    <w:pitch w:val="default"/>
  </w:font>
  <w:font w:name="Calibri">
    <w:charset w:val="01"/>
    <w:family w:val="swiss"/>
    <w:pitch w:val="default"/>
  </w:font>
  <w:font w:name="Carlito">
    <w:altName w:val="Calibri"/>
    <w:charset w:val="01"/>
    <w:family w:val="swiss"/>
    <w:pitch w:val="default"/>
  </w:font>
  <w:font w:name="Symbol">
    <w:charset w:val="02"/>
    <w:family w:val="auto"/>
    <w:pitch w:val="default"/>
  </w:font>
  <w:font w:name="Star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3</w:t>
    </w:r>
    <w:r>
      <w:rPr>
        <w:sz w:val="18"/>
        <w:szCs w:val="18"/>
        <w:rFonts w:cs="Courier Ne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Liberation Sans" w:hAnsi="Liberation Sans" w:cs="Courier New"/>
        <w:sz w:val="18"/>
        <w:szCs w:val="18"/>
      </w:rPr>
    </w:pPr>
    <w:r>
      <w:rPr>
        <w:rFonts w:cs="Courier New"/>
        <w:sz w:val="18"/>
        <w:szCs w:val="18"/>
      </w:rPr>
      <w:fldChar w:fldCharType="begin"/>
    </w:r>
    <w:r>
      <w:rPr>
        <w:sz w:val="18"/>
        <w:szCs w:val="18"/>
        <w:rFonts w:cs="Courier New"/>
      </w:rPr>
      <w:instrText xml:space="preserve"> PAGE </w:instrText>
    </w:r>
    <w:r>
      <w:rPr>
        <w:sz w:val="18"/>
        <w:szCs w:val="18"/>
        <w:rFonts w:cs="Courier New"/>
      </w:rPr>
      <w:fldChar w:fldCharType="separate"/>
    </w:r>
    <w:r>
      <w:rPr>
        <w:sz w:val="18"/>
        <w:szCs w:val="18"/>
        <w:rFonts w:cs="Courier New"/>
      </w:rPr>
      <w:t>3</w:t>
    </w:r>
    <w:r>
      <w:rPr>
        <w:sz w:val="18"/>
        <w:szCs w:val="18"/>
        <w:rFonts w:cs="Courier New"/>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1."/>
      <w:lvlJc w:val="start"/>
      <w:pPr>
        <w:tabs>
          <w:tab w:val="num" w:pos="720"/>
        </w:tabs>
        <w:ind w:start="0" w:hanging="0"/>
      </w:pPr>
      <w:rPr/>
    </w:lvl>
    <w:lvl w:ilvl="1">
      <w:start w:val="1"/>
      <w:numFmt w:val="decimal"/>
      <w:lvlText w:val=" %1.%2."/>
      <w:lvlJc w:val="start"/>
      <w:pPr>
        <w:tabs>
          <w:tab w:val="num" w:pos="1080"/>
        </w:tabs>
        <w:ind w:start="1080" w:hanging="720"/>
      </w:pPr>
      <w:rPr/>
    </w:lvl>
    <w:lvl w:ilvl="2">
      <w:start w:val="1"/>
      <w:numFmt w:val="lowerLetter"/>
      <w:lvlText w:val=" %3)"/>
      <w:lvlJc w:val="start"/>
      <w:pPr>
        <w:tabs>
          <w:tab w:val="num" w:pos="1584"/>
        </w:tabs>
        <w:ind w:start="1584" w:hanging="504"/>
      </w:pPr>
      <w:rPr/>
    </w:lvl>
    <w:lvl w:ilvl="3">
      <w:start w:val="1"/>
      <w:numFmt w:val="bullet"/>
      <w:lvlText w:val=""/>
      <w:lvlJc w:val="start"/>
      <w:pPr>
        <w:tabs>
          <w:tab w:val="num" w:pos="1728"/>
        </w:tabs>
        <w:ind w:start="1728" w:hanging="288"/>
      </w:pPr>
      <w:rPr>
        <w:rFonts w:ascii="Symbol" w:hAnsi="Symbol" w:cs="Symbol" w:hint="default"/>
      </w:rPr>
    </w:lvl>
    <w:lvl w:ilvl="4">
      <w:start w:val="1"/>
      <w:numFmt w:val="bullet"/>
      <w:lvlText w:val=""/>
      <w:lvlJc w:val="start"/>
      <w:pPr>
        <w:tabs>
          <w:tab w:val="num" w:pos="2016"/>
        </w:tabs>
        <w:ind w:start="2016" w:hanging="216"/>
      </w:pPr>
      <w:rPr>
        <w:rFonts w:ascii="Symbol" w:hAnsi="Symbol" w:cs="Symbol" w:hint="default"/>
      </w:rPr>
    </w:lvl>
    <w:lvl w:ilvl="5">
      <w:start w:val="1"/>
      <w:numFmt w:val="bullet"/>
      <w:lvlText w:val=""/>
      <w:lvlJc w:val="start"/>
      <w:pPr>
        <w:tabs>
          <w:tab w:val="num" w:pos="720"/>
        </w:tabs>
        <w:ind w:start="1701" w:hanging="283"/>
      </w:pPr>
      <w:rPr>
        <w:rFonts w:ascii="Symbol" w:hAnsi="Symbol" w:cs="Symbol" w:hint="default"/>
      </w:rPr>
    </w:lvl>
    <w:lvl w:ilvl="6">
      <w:start w:val="1"/>
      <w:numFmt w:val="bullet"/>
      <w:lvlText w:val=""/>
      <w:lvlJc w:val="start"/>
      <w:pPr>
        <w:tabs>
          <w:tab w:val="num" w:pos="720"/>
        </w:tabs>
        <w:ind w:start="1984" w:hanging="283"/>
      </w:pPr>
      <w:rPr>
        <w:rFonts w:ascii="Symbol" w:hAnsi="Symbol" w:cs="Symbol" w:hint="default"/>
      </w:rPr>
    </w:lvl>
    <w:lvl w:ilvl="7">
      <w:start w:val="1"/>
      <w:numFmt w:val="bullet"/>
      <w:lvlText w:val=""/>
      <w:lvlJc w:val="start"/>
      <w:pPr>
        <w:tabs>
          <w:tab w:val="num" w:pos="720"/>
        </w:tabs>
        <w:ind w:start="2268" w:hanging="283"/>
      </w:pPr>
      <w:rPr>
        <w:rFonts w:ascii="Symbol" w:hAnsi="Symbol" w:cs="Symbol" w:hint="default"/>
      </w:rPr>
    </w:lvl>
    <w:lvl w:ilvl="8">
      <w:start w:val="1"/>
      <w:numFmt w:val="bullet"/>
      <w:lvlText w:val=""/>
      <w:lvlJc w:val="start"/>
      <w:pPr>
        <w:tabs>
          <w:tab w:val="num" w:pos="720"/>
        </w:tabs>
        <w:ind w:start="2551" w:hanging="283"/>
      </w:pPr>
      <w:rPr>
        <w:rFonts w:ascii="Symbol" w:hAnsi="Symbol" w:cs="Symbol" w:hint="default"/>
      </w:rPr>
    </w:lvl>
  </w:abstractNum>
  <w:abstractNum w:abstractNumId="2">
    <w:lvl w:ilvl="0">
      <w:start w:val="1"/>
      <w:numFmt w:val="decimal"/>
      <w:lvlText w:val="%1."/>
      <w:lvlJc w:val="start"/>
      <w:pPr>
        <w:tabs>
          <w:tab w:val="num" w:pos="432"/>
        </w:tabs>
        <w:ind w:start="432" w:hanging="432"/>
      </w:pPr>
      <w:rPr/>
    </w:lvl>
    <w:lvl w:ilvl="1">
      <w:start w:val="1"/>
      <w:numFmt w:val="upperLetter"/>
      <w:lvlText w:val="%2."/>
      <w:lvlJc w:val="start"/>
      <w:pPr>
        <w:tabs>
          <w:tab w:val="num" w:pos="720"/>
        </w:tabs>
        <w:ind w:start="720" w:hanging="360"/>
      </w:pPr>
      <w:rPr/>
    </w:lvl>
    <w:lvl w:ilvl="2">
      <w:start w:val="1"/>
      <w:numFmt w:val="lowerLetter"/>
      <w:lvlText w:val="%3."/>
      <w:lvlJc w:val="start"/>
      <w:pPr>
        <w:tabs>
          <w:tab w:val="num" w:pos="1080"/>
        </w:tabs>
        <w:ind w:start="1080" w:hanging="360"/>
      </w:pPr>
      <w:rPr/>
    </w:lvl>
    <w:lvl w:ilvl="3">
      <w:start w:val="1"/>
      <w:numFmt w:val="lowerRoman"/>
      <w:lvlText w:val="%4."/>
      <w:lvlJc w:val="start"/>
      <w:pPr>
        <w:tabs>
          <w:tab w:val="num" w:pos="1440"/>
        </w:tabs>
        <w:ind w:start="1440" w:hanging="360"/>
      </w:pPr>
      <w:rPr/>
    </w:lvl>
    <w:lvl w:ilvl="4">
      <w:start w:val="1"/>
      <w:numFmt w:val="bullet"/>
      <w:lvlText w:val="◦"/>
      <w:lvlJc w:val="start"/>
      <w:pPr>
        <w:tabs>
          <w:tab w:val="num" w:pos="2160"/>
        </w:tabs>
        <w:ind w:start="2160" w:hanging="360"/>
      </w:pPr>
      <w:rPr>
        <w:rFonts w:ascii="StarSymbol" w:hAnsi="StarSymbol" w:cs="StarSymbol" w:hint="default"/>
      </w:rPr>
    </w:lvl>
    <w:lvl w:ilvl="5">
      <w:start w:val="1"/>
      <w:numFmt w:val="bullet"/>
      <w:lvlText w:val="▪"/>
      <w:lvlJc w:val="start"/>
      <w:pPr>
        <w:tabs>
          <w:tab w:val="num" w:pos="2520"/>
        </w:tabs>
        <w:ind w:start="2520" w:hanging="360"/>
      </w:pPr>
      <w:rPr>
        <w:rFonts w:ascii="StarSymbol" w:hAnsi="StarSymbol" w:cs="Star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StarSymbol" w:hAnsi="StarSymbol" w:cs="StarSymbol" w:hint="default"/>
      </w:rPr>
    </w:lvl>
    <w:lvl w:ilvl="8">
      <w:start w:val="1"/>
      <w:numFmt w:val="bullet"/>
      <w:lvlText w:val="▪"/>
      <w:lvlJc w:val="start"/>
      <w:pPr>
        <w:tabs>
          <w:tab w:val="num" w:pos="3600"/>
        </w:tabs>
        <w:ind w:start="3600" w:hanging="360"/>
      </w:pPr>
      <w:rPr>
        <w:rFonts w:ascii="StarSymbol" w:hAnsi="StarSymbol" w:cs="Star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 w:val="24"/>
        <w:szCs w:val="24"/>
        <w:lang w:val="en-US" w:eastAsia="zh-CN" w:bidi="hi-IN"/>
      </w:rPr>
    </w:rPrDefault>
    <w:pPrDefault>
      <w:pPr>
        <w:suppressAutoHyphens w:val="true"/>
      </w:pPr>
    </w:pPrDefault>
  </w:docDefaults>
  <w:style w:type="paragraph" w:styleId="Normal">
    <w:name w:val="Normal"/>
    <w:qFormat/>
    <w:pPr>
      <w:widowControl w:val="false"/>
      <w:tabs>
        <w:tab w:val="clear" w:pos="709"/>
      </w:tabs>
      <w:suppressAutoHyphens w:val="false"/>
      <w:overflowPunct w:val="false"/>
      <w:bidi w:val="0"/>
      <w:spacing w:before="0" w:after="0"/>
      <w:jc w:val="both"/>
    </w:pPr>
    <w:rPr>
      <w:rFonts w:ascii="Liberation Sans" w:hAnsi="Liberation Sans" w:eastAsia="DejaVu Sans" w:cs="FreeSans"/>
      <w:color w:val="auto"/>
      <w:kern w:val="2"/>
      <w:sz w:val="22"/>
      <w:szCs w:val="24"/>
      <w:lang w:val="en-US" w:eastAsia="zh-CN" w:bidi="hi-IN"/>
    </w:rPr>
  </w:style>
  <w:style w:type="paragraph" w:styleId="Heading1">
    <w:name w:val="heading 1"/>
    <w:basedOn w:val="Normal"/>
    <w:next w:val="BodyText"/>
    <w:qFormat/>
    <w:pPr>
      <w:keepNext w:val="true"/>
      <w:keepLines/>
      <w:widowControl/>
      <w:numPr>
        <w:ilvl w:val="0"/>
        <w:numId w:val="0"/>
      </w:numPr>
      <w:outlineLvl w:val="0"/>
    </w:pPr>
    <w:rPr>
      <w:rFonts w:ascii="Arial Narrow" w:hAnsi="Arial Narrow" w:cs="Arial Narrow"/>
      <w:b/>
      <w:bCs/>
    </w:rPr>
  </w:style>
  <w:style w:type="paragraph" w:styleId="Heading2">
    <w:name w:val="heading 2"/>
    <w:basedOn w:val="Normal"/>
    <w:next w:val="BodyText"/>
    <w:qFormat/>
    <w:pPr>
      <w:keepNext w:val="true"/>
      <w:numPr>
        <w:ilvl w:val="0"/>
        <w:numId w:val="0"/>
      </w:numPr>
      <w:spacing w:before="240" w:after="60"/>
      <w:outlineLvl w:val="1"/>
    </w:pPr>
    <w:rPr>
      <w:rFonts w:ascii="Arial" w:hAnsi="Arial" w:cs="Arial"/>
      <w:b/>
      <w:bCs/>
      <w:i/>
      <w:iCs/>
      <w:sz w:val="28"/>
      <w:szCs w:val="28"/>
    </w:rPr>
  </w:style>
  <w:style w:type="paragraph" w:styleId="Heading3">
    <w:name w:val="heading 3"/>
    <w:basedOn w:val="Normal"/>
    <w:next w:val="BodyText"/>
    <w:qFormat/>
    <w:pPr>
      <w:keepNext w:val="true"/>
      <w:numPr>
        <w:ilvl w:val="0"/>
        <w:numId w:val="0"/>
      </w:numPr>
      <w:spacing w:before="240" w:after="60"/>
      <w:outlineLvl w:val="2"/>
    </w:pPr>
    <w:rPr>
      <w:rFonts w:ascii="Arial" w:hAnsi="Arial" w:cs="Arial"/>
      <w:b/>
      <w:bCs/>
      <w:sz w:val="26"/>
      <w:szCs w:val="26"/>
    </w:rPr>
  </w:style>
  <w:style w:type="paragraph" w:styleId="Heading6">
    <w:name w:val="heading 6"/>
    <w:basedOn w:val="Normal"/>
    <w:next w:val="BodyText"/>
    <w:qFormat/>
    <w:pPr>
      <w:numPr>
        <w:ilvl w:val="0"/>
        <w:numId w:val="0"/>
      </w:numPr>
      <w:spacing w:before="240" w:after="60"/>
      <w:outlineLvl w:val="5"/>
    </w:pPr>
    <w:rPr>
      <w:b/>
      <w:bCs/>
      <w:sz w:val="22"/>
      <w:szCs w:val="22"/>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shd w:fill="C0C0C0" w:val="clear"/>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shd w:fill="C0C0C0" w:val="clear"/>
    </w:rPr>
  </w:style>
  <w:style w:type="character" w:styleId="Hyper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BodyText"/>
    <w:qFormat/>
    <w:pPr>
      <w:keepNext w:val="true"/>
      <w:spacing w:before="240" w:after="120"/>
    </w:pPr>
    <w:rPr>
      <w:rFonts w:ascii="Arial" w:hAnsi="Arial" w:eastAsia="DejaVu Sans" w:cs="DejaVu Sans"/>
      <w:sz w:val="28"/>
      <w:szCs w:val="28"/>
    </w:rPr>
  </w:style>
  <w:style w:type="paragraph" w:styleId="BodyText">
    <w:name w:val="Body Text"/>
    <w:basedOn w:val="Normal"/>
    <w:pPr>
      <w:spacing w:before="0" w:after="144"/>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enter" w:pos="4819" w:leader="none"/>
        <w:tab w:val="right" w:pos="9638" w:leader="none"/>
      </w:tabs>
    </w:pPr>
    <w:rPr/>
  </w:style>
  <w:style w:type="paragraph" w:styleId="Footer">
    <w:name w:val="footer"/>
    <w:basedOn w:val="Normal"/>
    <w:pPr>
      <w:suppressLineNumbers/>
      <w:tabs>
        <w:tab w:val="center" w:pos="4986" w:leader="none"/>
        <w:tab w:val="right" w:pos="9972" w:leader="none"/>
      </w:tabs>
      <w:jc w:val="center"/>
    </w:pPr>
    <w:rPr>
      <w:sz w:val="18"/>
    </w:rPr>
  </w:style>
  <w:style w:type="paragraph" w:styleId="ListNumber">
    <w:name w:val="List Number"/>
    <w:basedOn w:val="List"/>
    <w:pPr>
      <w:spacing w:before="0" w:after="120"/>
      <w:ind w:hanging="360" w:start="14" w:end="0"/>
    </w:pPr>
    <w:rPr/>
  </w:style>
  <w:style w:type="paragraph" w:styleId="Numbering1Cont">
    <w:name w:val="Numbering 1 Cont."/>
    <w:basedOn w:val="List"/>
    <w:qFormat/>
    <w:pPr>
      <w:numPr>
        <w:ilvl w:val="0"/>
        <w:numId w:val="1"/>
      </w:numPr>
      <w:spacing w:before="0" w:after="120"/>
      <w:outlineLvl w:val="0"/>
    </w:pPr>
    <w:rPr/>
  </w:style>
  <w:style w:type="paragraph" w:styleId="ListParagraph">
    <w:name w:val="List Paragraph"/>
    <w:basedOn w:val="Normal"/>
    <w:qFormat/>
    <w:pPr>
      <w:widowControl/>
      <w:spacing w:lineRule="auto" w:line="276" w:before="0" w:after="200"/>
      <w:ind w:hanging="0" w:start="720" w:end="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BodyTextIndent">
    <w:name w:val="Body Text Indent"/>
    <w:basedOn w:val="Normal"/>
    <w:pPr>
      <w:spacing w:before="0" w:after="120"/>
      <w:ind w:hanging="0" w:start="360" w:end="0"/>
    </w:pPr>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next w:val="BodyText"/>
    <w:qFormat/>
    <w:pPr>
      <w:jc w:val="center"/>
    </w:pPr>
    <w:rPr>
      <w:i/>
      <w:iCs/>
      <w:sz w:val="28"/>
      <w:szCs w:val="28"/>
    </w:rPr>
  </w:style>
  <w:style w:type="paragraph" w:styleId="EnvelopeAddress">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false"/>
      <w:bidi w:val="0"/>
      <w:spacing w:before="0" w:after="0"/>
      <w:jc w:val="star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false"/>
      <w:bidi w:val="0"/>
      <w:spacing w:before="0" w:after="0"/>
      <w:jc w:val="star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false"/>
      <w:bidi w:val="0"/>
      <w:spacing w:before="0" w:after="0"/>
      <w:ind w:hanging="720" w:start="720" w:end="0"/>
      <w:jc w:val="star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hanging="468" w:start="1188" w:end="0"/>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false"/>
      <w:bidi w:val="0"/>
      <w:spacing w:before="240" w:after="0"/>
      <w:jc w:val="star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hanging="0" w:start="720" w:end="0"/>
    </w:pPr>
    <w:rPr/>
  </w:style>
  <w:style w:type="paragraph" w:styleId="AIAFillPointParagraphRight">
    <w:name w:val="AIA FillPoint Paragraph Right"/>
    <w:qFormat/>
    <w:pPr>
      <w:widowControl w:val="false"/>
      <w:suppressAutoHyphens w:val="true"/>
      <w:overflowPunct w:val="false"/>
      <w:bidi w:val="0"/>
      <w:spacing w:before="0" w:after="0"/>
      <w:jc w:val="end"/>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hanging="0" w:start="1191" w:end="0"/>
    </w:pPr>
    <w:rPr/>
  </w:style>
  <w:style w:type="paragraph" w:styleId="AIADigitalSignature">
    <w:name w:val="AIA Digital Signature"/>
    <w:qFormat/>
    <w:pPr>
      <w:widowControl/>
      <w:suppressAutoHyphens w:val="true"/>
      <w:overflowPunct w:val="fals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BlockQuotationuser">
    <w:name w:val="Block Quotation (user)"/>
    <w:basedOn w:val="Normal"/>
    <w:qFormat/>
    <w:pPr>
      <w:spacing w:before="0" w:after="283"/>
      <w:ind w:hanging="0" w:start="567" w:end="567"/>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john5</Template>
  <TotalTime>30</TotalTime>
  <Application>LibreOffice/25.8.1.1$Linux_X86_64 LibreOffice_project/580$Build-1</Application>
  <AppVersion>15.0000</AppVersion>
  <Pages>3</Pages>
  <Words>1227</Words>
  <Characters>7227</Characters>
  <CharactersWithSpaces>8426</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2018-08-10T09:59:41Z</dcterms:created>
  <dc:creator>John Little</dc:creator>
  <dc:description/>
  <dc:language>en-GB</dc:language>
  <cp:lastModifiedBy>John Little</cp:lastModifiedBy>
  <dcterms:modified xsi:type="dcterms:W3CDTF">2025-09-25T09:55:34Z</dcterms:modified>
  <cp:revision>7</cp:revision>
  <dc:subject/>
  <dc:title>john5</dc:title>
</cp:coreProperties>
</file>

<file path=docProps/custom.xml><?xml version="1.0" encoding="utf-8"?>
<Properties xmlns="http://schemas.openxmlformats.org/officeDocument/2006/custom-properties" xmlns:vt="http://schemas.openxmlformats.org/officeDocument/2006/docPropsVTypes"/>
</file>