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6"/>
          <w:szCs w:val="36"/>
        </w:rPr>
      </w:pPr>
      <w:r>
        <w:rPr>
          <w:b/>
          <w:bCs/>
          <w:sz w:val="36"/>
          <w:szCs w:val="36"/>
        </w:rPr>
        <w:t>OPERATING AGREEMENT</w:t>
      </w:r>
    </w:p>
    <w:p>
      <w:pPr>
        <w:pStyle w:val="Normal"/>
        <w:jc w:val="center"/>
        <w:rPr>
          <w:b/>
          <w:bCs/>
          <w:sz w:val="36"/>
          <w:szCs w:val="36"/>
        </w:rPr>
      </w:pPr>
      <w:r>
        <w:rPr>
          <w:b/>
          <w:bCs/>
          <w:sz w:val="36"/>
          <w:szCs w:val="36"/>
        </w:rPr>
      </w:r>
    </w:p>
    <w:p>
      <w:pPr>
        <w:pStyle w:val="Normal"/>
        <w:rPr/>
      </w:pPr>
      <w:r>
        <w:rPr/>
        <w:t>The Members identified below., who are husband and wife, hereby enter into this Operating Agreement for the purpose of forming a limited liability company (the "Company") under the Florida Revised Limited Liability Company Act (the "Act").  in consideration of the mutual covenants contained herein, the parties agree as follows:</w:t>
      </w:r>
    </w:p>
    <w:p>
      <w:pPr>
        <w:pStyle w:val="Normal"/>
        <w:rPr/>
      </w:pPr>
      <w:r>
        <w:rPr/>
      </w:r>
    </w:p>
    <w:p>
      <w:pPr>
        <w:pStyle w:val="BodyText"/>
        <w:numPr>
          <w:ilvl w:val="0"/>
          <w:numId w:val="1"/>
        </w:numPr>
        <w:rPr>
          <w:b/>
          <w:bCs/>
        </w:rPr>
      </w:pPr>
      <w:r>
        <w:rPr>
          <w:b/>
          <w:bCs/>
        </w:rPr>
        <w:t>Formation</w:t>
      </w:r>
    </w:p>
    <w:p>
      <w:pPr>
        <w:pStyle w:val="BodyText"/>
        <w:numPr>
          <w:ilvl w:val="1"/>
          <w:numId w:val="1"/>
        </w:numPr>
        <w:rPr/>
      </w:pPr>
      <w:r>
        <w:rPr>
          <w:u w:val="single"/>
        </w:rPr>
        <w:t>Name</w:t>
      </w:r>
      <w:r>
        <w:rPr/>
        <w:t>. The name of the company is [n</w:t>
      </w:r>
      <w:r>
        <w:rPr>
          <w:highlight w:val="yellow"/>
        </w:rPr>
        <w:t>ame of compan</w:t>
      </w:r>
      <w:r>
        <w:rPr/>
        <w:t>y].</w:t>
      </w:r>
    </w:p>
    <w:p>
      <w:pPr>
        <w:pStyle w:val="BodyText"/>
        <w:numPr>
          <w:ilvl w:val="1"/>
          <w:numId w:val="1"/>
        </w:numPr>
        <w:rPr/>
      </w:pPr>
      <w:r>
        <w:rPr>
          <w:u w:val="single"/>
        </w:rPr>
        <w:t>Articles of Organization.</w:t>
      </w:r>
      <w:r>
        <w:rPr/>
        <w:t xml:space="preserve"> Articles of organization for the Company have been or will be filed with the Florida Department of State. </w:t>
      </w:r>
    </w:p>
    <w:p>
      <w:pPr>
        <w:pStyle w:val="BodyText"/>
        <w:numPr>
          <w:ilvl w:val="1"/>
          <w:numId w:val="1"/>
        </w:numPr>
        <w:rPr/>
      </w:pPr>
      <w:r>
        <w:rPr>
          <w:u w:val="single"/>
        </w:rPr>
        <w:t>Duration</w:t>
      </w:r>
      <w:r>
        <w:rPr/>
        <w:t>. The company will exist until dissolved as provided in this agreement.</w:t>
      </w:r>
    </w:p>
    <w:p>
      <w:pPr>
        <w:pStyle w:val="BodyText"/>
        <w:numPr>
          <w:ilvl w:val="1"/>
          <w:numId w:val="1"/>
        </w:numPr>
        <w:rPr/>
      </w:pPr>
      <w:r>
        <w:rPr>
          <w:u w:val="single"/>
        </w:rPr>
        <w:t>Principal Office and Registered Agent</w:t>
      </w:r>
      <w:r>
        <w:rPr/>
        <w:t xml:space="preserve">.  the Company's initial principal office, initial registered agent shall be designated in the Articles of Organization. </w:t>
      </w:r>
    </w:p>
    <w:p>
      <w:pPr>
        <w:pStyle w:val="BodyText"/>
        <w:numPr>
          <w:ilvl w:val="1"/>
          <w:numId w:val="1"/>
        </w:numPr>
        <w:rPr/>
      </w:pPr>
      <w:r>
        <w:rPr>
          <w:u w:val="single"/>
        </w:rPr>
        <w:t>Purposes and Powers</w:t>
      </w:r>
      <w:r>
        <w:rPr/>
        <w:t>. The company is formed for the purpose of engaging in any lawful business that a limited liability company may engage in under the Act. The company has the power to do all things necessary, incident, or in furtherance of those businesses.</w:t>
      </w:r>
    </w:p>
    <w:p>
      <w:pPr>
        <w:pStyle w:val="BodyText"/>
        <w:numPr>
          <w:ilvl w:val="1"/>
          <w:numId w:val="1"/>
        </w:numPr>
        <w:rPr/>
      </w:pPr>
      <w:r>
        <w:rPr>
          <w:u w:val="single"/>
        </w:rPr>
        <w:t>Title to Assets</w:t>
      </w:r>
      <w:r>
        <w:rPr/>
        <w:t>. Title to all assets of the company will be held in the name of the company. No member has any right to the assets of the company or any ownership interest in those assets except indirectly as a result of the member's ownership of an interest in the company. No member has any right to partition any assets of the company or any right to receive any specific assets on the winding up of the business of the company or on any other distribution from the company. Assets of the company may not be commingled with those of a member or any other person.</w:t>
      </w:r>
    </w:p>
    <w:p>
      <w:pPr>
        <w:pStyle w:val="BodyText"/>
        <w:numPr>
          <w:ilvl w:val="1"/>
          <w:numId w:val="1"/>
        </w:numPr>
        <w:rPr/>
      </w:pPr>
      <w:r>
        <w:rPr>
          <w:u w:val="single"/>
        </w:rPr>
        <w:t>Optional Election to Be Taxed as a Corporation</w:t>
      </w:r>
      <w:r>
        <w:rPr/>
        <w:t>.  The Members, by unanimous written consent, may authorize the Company to make an election with the IRS for the the Company to be treated as an association taxable as a corporation for federal and state income tax purposes in accordance with 26 CFR 301.7701-3 and, further, if the Member's so desire, to cooperate in then making the election for the Company to be taxed as an “S Corporation” as that term is defined in 26 USC 1361 the Company shall be an “S Corporation” for federal and state tax purposes.</w:t>
      </w:r>
    </w:p>
    <w:p>
      <w:pPr>
        <w:pStyle w:val="BodyText"/>
        <w:numPr>
          <w:ilvl w:val="0"/>
          <w:numId w:val="1"/>
        </w:numPr>
        <w:rPr>
          <w:b/>
          <w:bCs/>
        </w:rPr>
      </w:pPr>
      <w:r>
        <w:rPr>
          <w:b/>
          <w:bCs/>
        </w:rPr>
        <w:t>Members, Contributions and Interests</w:t>
      </w:r>
    </w:p>
    <w:p>
      <w:pPr>
        <w:pStyle w:val="BodyText"/>
        <w:numPr>
          <w:ilvl w:val="1"/>
          <w:numId w:val="1"/>
        </w:numPr>
        <w:rPr/>
      </w:pPr>
      <w:r>
        <w:rPr>
          <w:u w:val="single"/>
        </w:rPr>
        <w:t>Members</w:t>
      </w:r>
      <w:r>
        <w:rPr/>
        <w:t xml:space="preserve">. Each member's ownership interest at any time will be determined by the ratio of that member's aggregate capital contributions to the aggregate capital contributions of both members. The names and addresses of the members of the company, the amounts of their initial capital contributions, and their initial ownership interests are as follows:     </w:t>
      </w:r>
    </w:p>
    <w:tbl>
      <w:tblPr>
        <w:tblW w:w="9163" w:type="dxa"/>
        <w:jc w:val="left"/>
        <w:tblInd w:w="1069" w:type="dxa"/>
        <w:tblLayout w:type="fixed"/>
        <w:tblCellMar>
          <w:top w:w="0" w:type="dxa"/>
          <w:left w:w="2" w:type="dxa"/>
          <w:bottom w:w="0" w:type="dxa"/>
          <w:right w:w="0" w:type="dxa"/>
        </w:tblCellMar>
      </w:tblPr>
      <w:tblGrid>
        <w:gridCol w:w="2863"/>
        <w:gridCol w:w="3246"/>
        <w:gridCol w:w="3054"/>
      </w:tblGrid>
      <w:tr>
        <w:trPr/>
        <w:tc>
          <w:tcPr>
            <w:tcW w:w="2863" w:type="dxa"/>
            <w:tcBorders>
              <w:top w:val="single" w:sz="2" w:space="0" w:color="000000"/>
              <w:left w:val="single" w:sz="2" w:space="0" w:color="000000"/>
              <w:bottom w:val="single" w:sz="2" w:space="0" w:color="000000"/>
            </w:tcBorders>
            <w:shd w:fill="auto" w:val="clear"/>
          </w:tcPr>
          <w:p>
            <w:pPr>
              <w:pStyle w:val="TableContents"/>
              <w:widowControl w:val="false"/>
              <w:rPr>
                <w:b w:val="false"/>
                <w:bCs w:val="false"/>
              </w:rPr>
            </w:pPr>
            <w:r>
              <w:rPr>
                <w:b w:val="false"/>
                <w:bCs w:val="false"/>
              </w:rPr>
              <w:t>Name</w:t>
            </w:r>
          </w:p>
        </w:tc>
        <w:tc>
          <w:tcPr>
            <w:tcW w:w="3246" w:type="dxa"/>
            <w:tcBorders>
              <w:top w:val="single" w:sz="2" w:space="0" w:color="000000"/>
              <w:left w:val="single" w:sz="4" w:space="0" w:color="000000"/>
              <w:bottom w:val="single" w:sz="2" w:space="0" w:color="000000"/>
            </w:tcBorders>
            <w:shd w:fill="auto" w:val="clear"/>
          </w:tcPr>
          <w:p>
            <w:pPr>
              <w:pStyle w:val="TableContents"/>
              <w:widowControl w:val="false"/>
              <w:rPr>
                <w:b w:val="false"/>
                <w:bCs w:val="false"/>
              </w:rPr>
            </w:pPr>
            <w:r>
              <w:rPr>
                <w:b w:val="false"/>
                <w:bCs w:val="false"/>
              </w:rPr>
              <w:t>Initial Contribution</w:t>
            </w:r>
          </w:p>
        </w:tc>
        <w:tc>
          <w:tcPr>
            <w:tcW w:w="3054" w:type="dxa"/>
            <w:tcBorders>
              <w:top w:val="single" w:sz="2" w:space="0" w:color="000000"/>
              <w:left w:val="single" w:sz="4" w:space="0" w:color="000000"/>
              <w:bottom w:val="single" w:sz="2" w:space="0" w:color="000000"/>
              <w:right w:val="single" w:sz="2" w:space="0" w:color="000000"/>
            </w:tcBorders>
            <w:shd w:fill="auto" w:val="clear"/>
          </w:tcPr>
          <w:p>
            <w:pPr>
              <w:pStyle w:val="TableContents"/>
              <w:widowControl w:val="false"/>
              <w:rPr>
                <w:b w:val="false"/>
                <w:bCs w:val="false"/>
              </w:rPr>
            </w:pPr>
            <w:r>
              <w:rPr>
                <w:b w:val="false"/>
                <w:bCs w:val="false"/>
              </w:rPr>
              <w:t>Initial Ownership Interest</w:t>
            </w:r>
          </w:p>
        </w:tc>
      </w:tr>
      <w:tr>
        <w:trPr/>
        <w:tc>
          <w:tcPr>
            <w:tcW w:w="2863" w:type="dxa"/>
            <w:tcBorders>
              <w:top w:val="single" w:sz="2" w:space="0" w:color="000000"/>
              <w:left w:val="single" w:sz="2" w:space="0" w:color="000000"/>
              <w:bottom w:val="single" w:sz="2" w:space="0" w:color="000000"/>
            </w:tcBorders>
            <w:shd w:fill="auto" w:val="clear"/>
          </w:tcPr>
          <w:p>
            <w:pPr>
              <w:pStyle w:val="TableContents"/>
              <w:widowControl w:val="false"/>
              <w:snapToGrid w:val="false"/>
              <w:rPr/>
            </w:pPr>
            <w:r>
              <w:rPr/>
            </w:r>
          </w:p>
        </w:tc>
        <w:tc>
          <w:tcPr>
            <w:tcW w:w="3246" w:type="dxa"/>
            <w:tcBorders>
              <w:top w:val="single" w:sz="2" w:space="0" w:color="000000"/>
              <w:left w:val="single" w:sz="4" w:space="0" w:color="000000"/>
              <w:bottom w:val="single" w:sz="2" w:space="0" w:color="000000"/>
            </w:tcBorders>
            <w:shd w:fill="auto" w:val="clear"/>
          </w:tcPr>
          <w:p>
            <w:pPr>
              <w:pStyle w:val="TableContents"/>
              <w:widowControl w:val="false"/>
              <w:snapToGrid w:val="false"/>
              <w:rPr/>
            </w:pPr>
            <w:r>
              <w:rPr/>
            </w:r>
          </w:p>
        </w:tc>
        <w:tc>
          <w:tcPr>
            <w:tcW w:w="3054" w:type="dxa"/>
            <w:tcBorders>
              <w:top w:val="single" w:sz="2" w:space="0" w:color="000000"/>
              <w:left w:val="single" w:sz="4" w:space="0" w:color="000000"/>
              <w:bottom w:val="single" w:sz="2" w:space="0" w:color="000000"/>
              <w:right w:val="single" w:sz="2" w:space="0" w:color="000000"/>
            </w:tcBorders>
            <w:shd w:fill="auto" w:val="clear"/>
          </w:tcPr>
          <w:p>
            <w:pPr>
              <w:pStyle w:val="TableContents"/>
              <w:widowControl w:val="false"/>
              <w:tabs>
                <w:tab w:val="clear" w:pos="709"/>
                <w:tab w:val="left" w:pos="1925" w:leader="none"/>
              </w:tabs>
              <w:snapToGrid w:val="false"/>
              <w:rPr/>
            </w:pPr>
            <w:r>
              <w:rPr/>
            </w:r>
          </w:p>
        </w:tc>
      </w:tr>
      <w:tr>
        <w:trPr/>
        <w:tc>
          <w:tcPr>
            <w:tcW w:w="2863" w:type="dxa"/>
            <w:tcBorders>
              <w:top w:val="single" w:sz="2" w:space="0" w:color="000000"/>
              <w:left w:val="single" w:sz="2" w:space="0" w:color="000000"/>
              <w:bottom w:val="single" w:sz="2" w:space="0" w:color="000000"/>
            </w:tcBorders>
            <w:shd w:fill="auto" w:val="clear"/>
          </w:tcPr>
          <w:p>
            <w:pPr>
              <w:pStyle w:val="TableContents"/>
              <w:widowControl w:val="false"/>
              <w:snapToGrid w:val="false"/>
              <w:rPr/>
            </w:pPr>
            <w:r>
              <w:rPr/>
            </w:r>
          </w:p>
        </w:tc>
        <w:tc>
          <w:tcPr>
            <w:tcW w:w="3246" w:type="dxa"/>
            <w:tcBorders>
              <w:top w:val="single" w:sz="2" w:space="0" w:color="000000"/>
              <w:left w:val="single" w:sz="4" w:space="0" w:color="000000"/>
              <w:bottom w:val="single" w:sz="2" w:space="0" w:color="000000"/>
            </w:tcBorders>
            <w:shd w:fill="auto" w:val="clear"/>
          </w:tcPr>
          <w:p>
            <w:pPr>
              <w:pStyle w:val="TableContents"/>
              <w:widowControl w:val="false"/>
              <w:snapToGrid w:val="false"/>
              <w:rPr/>
            </w:pPr>
            <w:r>
              <w:rPr/>
            </w:r>
          </w:p>
        </w:tc>
        <w:tc>
          <w:tcPr>
            <w:tcW w:w="3054" w:type="dxa"/>
            <w:tcBorders>
              <w:top w:val="single" w:sz="2" w:space="0" w:color="000000"/>
              <w:left w:val="single" w:sz="4" w:space="0" w:color="000000"/>
              <w:bottom w:val="single" w:sz="2" w:space="0" w:color="000000"/>
              <w:right w:val="single" w:sz="2" w:space="0" w:color="000000"/>
            </w:tcBorders>
            <w:shd w:fill="auto" w:val="clear"/>
          </w:tcPr>
          <w:p>
            <w:pPr>
              <w:pStyle w:val="TableContents"/>
              <w:widowControl w:val="false"/>
              <w:snapToGrid w:val="false"/>
              <w:rPr/>
            </w:pPr>
            <w:r>
              <w:rPr/>
            </w:r>
          </w:p>
        </w:tc>
      </w:tr>
      <w:tr>
        <w:trPr/>
        <w:tc>
          <w:tcPr>
            <w:tcW w:w="2863" w:type="dxa"/>
            <w:tcBorders>
              <w:top w:val="single" w:sz="2" w:space="0" w:color="000000"/>
              <w:left w:val="single" w:sz="2" w:space="0" w:color="000000"/>
              <w:bottom w:val="single" w:sz="2" w:space="0" w:color="000000"/>
            </w:tcBorders>
            <w:shd w:fill="auto" w:val="clear"/>
          </w:tcPr>
          <w:p>
            <w:pPr>
              <w:pStyle w:val="TableContents"/>
              <w:widowControl w:val="false"/>
              <w:snapToGrid w:val="false"/>
              <w:rPr/>
            </w:pPr>
            <w:r>
              <w:rPr/>
            </w:r>
          </w:p>
        </w:tc>
        <w:tc>
          <w:tcPr>
            <w:tcW w:w="3246" w:type="dxa"/>
            <w:tcBorders>
              <w:top w:val="single" w:sz="2" w:space="0" w:color="000000"/>
              <w:left w:val="single" w:sz="4" w:space="0" w:color="000000"/>
              <w:bottom w:val="single" w:sz="2" w:space="0" w:color="000000"/>
            </w:tcBorders>
            <w:shd w:fill="auto" w:val="clear"/>
          </w:tcPr>
          <w:p>
            <w:pPr>
              <w:pStyle w:val="TableContents"/>
              <w:widowControl w:val="false"/>
              <w:snapToGrid w:val="false"/>
              <w:rPr/>
            </w:pPr>
            <w:r>
              <w:rPr/>
            </w:r>
          </w:p>
        </w:tc>
        <w:tc>
          <w:tcPr>
            <w:tcW w:w="3054" w:type="dxa"/>
            <w:tcBorders>
              <w:top w:val="single" w:sz="2" w:space="0" w:color="000000"/>
              <w:left w:val="single" w:sz="4" w:space="0" w:color="000000"/>
              <w:bottom w:val="single" w:sz="2" w:space="0" w:color="000000"/>
              <w:right w:val="single" w:sz="2" w:space="0" w:color="000000"/>
            </w:tcBorders>
            <w:shd w:fill="auto" w:val="clear"/>
          </w:tcPr>
          <w:p>
            <w:pPr>
              <w:pStyle w:val="TableContents"/>
              <w:widowControl w:val="false"/>
              <w:snapToGrid w:val="false"/>
              <w:rPr/>
            </w:pPr>
            <w:r>
              <w:rPr/>
            </w:r>
          </w:p>
        </w:tc>
      </w:tr>
    </w:tbl>
    <w:p>
      <w:pPr>
        <w:pStyle w:val="BodyText"/>
        <w:numPr>
          <w:ilvl w:val="1"/>
          <w:numId w:val="1"/>
        </w:numPr>
        <w:rPr/>
      </w:pPr>
      <w:r>
        <w:rPr>
          <w:u w:val="single"/>
        </w:rPr>
        <w:t>Additional Members</w:t>
      </w:r>
      <w:r>
        <w:rPr/>
        <w:t>. Additional members may be admitted only with the consent of both members.</w:t>
      </w:r>
    </w:p>
    <w:p>
      <w:pPr>
        <w:pStyle w:val="BodyText"/>
        <w:numPr>
          <w:ilvl w:val="1"/>
          <w:numId w:val="1"/>
        </w:numPr>
        <w:rPr/>
      </w:pPr>
      <w:r>
        <w:rPr>
          <w:u w:val="single"/>
        </w:rPr>
        <w:t>Additional Contributions</w:t>
      </w:r>
      <w:r>
        <w:rPr/>
        <w:t>. Neither member is required to contribute additional capital to the company without the member's consent, unless the Act provides otherwise. Additional capital contributions will be accepted from existing members only if both members approve and set the maximum total amount of the additional capital contributions. If the members do so, the members have the opportunity (but not the obligation) to make the additional capital contributions on a pro rata basis in accordance with their ownership interests. If either member elects to contribute less than the member's pro rata share, the other member may contribute the difference.</w:t>
      </w:r>
    </w:p>
    <w:p>
      <w:pPr>
        <w:pStyle w:val="BodyText"/>
        <w:numPr>
          <w:ilvl w:val="1"/>
          <w:numId w:val="1"/>
        </w:numPr>
        <w:rPr/>
      </w:pPr>
      <w:r>
        <w:rPr>
          <w:u w:val="single"/>
        </w:rPr>
        <w:t>No Interest on Capital Contributions</w:t>
      </w:r>
      <w:r>
        <w:rPr/>
        <w:t>. No interest will be paid on capital contributions.</w:t>
      </w:r>
    </w:p>
    <w:p>
      <w:pPr>
        <w:pStyle w:val="BodyText"/>
        <w:numPr>
          <w:ilvl w:val="1"/>
          <w:numId w:val="1"/>
        </w:numPr>
        <w:rPr/>
      </w:pPr>
      <w:r>
        <w:rPr>
          <w:u w:val="single"/>
        </w:rPr>
        <w:t>Capital Accounts</w:t>
      </w:r>
      <w:r>
        <w:rPr/>
        <w:t xml:space="preserve">. Unless the members are a qualified husband and wife </w:t>
      </w:r>
      <w:r>
        <w:rPr/>
        <w:t xml:space="preserve">(generally a husband and wife who file a joint income tax return) </w:t>
      </w:r>
      <w:r>
        <w:rPr/>
        <w:t>which have elected to have the company excluded from partnership treatment for income tax purposes pursuant to IRC § 761(f), an individual capital account must be maintained for each member. A member's capital account will be credited with all capital contributions made by the member and with all income and gain (including any income exempt from federal income tax) allocated to the member. A member's capital account will be charged with the amount of all distributions made to the member and with all losses and deductions (including deductions attributable to tax-exempt income) allocated to the member. Members' capital accounts must be maintained in accordance with the federal income tax accounting principles contained in Treas. Reg. §1.704-1(b)(2)(iv).</w:t>
      </w:r>
    </w:p>
    <w:p>
      <w:pPr>
        <w:pStyle w:val="BodyText"/>
        <w:numPr>
          <w:ilvl w:val="0"/>
          <w:numId w:val="1"/>
        </w:numPr>
        <w:rPr>
          <w:b/>
          <w:bCs/>
        </w:rPr>
      </w:pPr>
      <w:r>
        <w:rPr>
          <w:b/>
          <w:bCs/>
        </w:rPr>
        <w:t>Allocation of Profits and Losses</w:t>
      </w:r>
    </w:p>
    <w:p>
      <w:pPr>
        <w:pStyle w:val="BodyText"/>
        <w:numPr>
          <w:ilvl w:val="1"/>
          <w:numId w:val="1"/>
        </w:numPr>
        <w:rPr/>
      </w:pPr>
      <w:r>
        <w:rPr>
          <w:u w:val="single"/>
        </w:rPr>
        <w:t>Net Profit or Loss</w:t>
      </w:r>
      <w:r>
        <w:rPr/>
        <w:t>. The net profit or loss of the company for each fiscal year will be determined according to the accounting principles employed in the preparation of the company's federal income tax information return. If the company has elected to be taxed as a Partnership the profit or loss, as well as any items thereof that must be separately stated under IRC §703(a), will be allocated to the members in proportion to their ownership interests.</w:t>
      </w:r>
    </w:p>
    <w:p>
      <w:pPr>
        <w:pStyle w:val="BodyText"/>
        <w:numPr>
          <w:ilvl w:val="1"/>
          <w:numId w:val="1"/>
        </w:numPr>
        <w:rPr/>
      </w:pPr>
      <w:r>
        <w:rPr>
          <w:u w:val="single"/>
        </w:rPr>
        <w:t>Allocations Solely for Tax Purposes</w:t>
      </w:r>
      <w:r>
        <w:rPr/>
        <w:t>. In accordance with IRC § 704(c), income, gain, loss, and deduction with respect to any asset contributed to the capital of the company must be allocated between the members to take into account any variation between the agreed value of the asset and its adjusted basis for federal income tax purposes in the hands of the company at the time the asset is contributed. Any elections or other decisions relating to the allocations to be made under this section will be made by the members. Allocations made under this section are solely for income tax purposes and will not affect any member's capital account, allocable share of the profits or losses, or rights to distributions.</w:t>
      </w:r>
    </w:p>
    <w:p>
      <w:pPr>
        <w:pStyle w:val="BodyText"/>
        <w:numPr>
          <w:ilvl w:val="1"/>
          <w:numId w:val="1"/>
        </w:numPr>
        <w:rPr/>
      </w:pPr>
      <w:r>
        <w:rPr>
          <w:u w:val="single"/>
        </w:rPr>
        <w:t>Prorates</w:t>
      </w:r>
      <w:r>
        <w:rPr/>
        <w:t>. If a member has been a member of the company during only part of a fiscal year, or if a member's ownership interest changes during a fiscal year, the net profit or net loss for the year will be allocated to the member based only on the period of time during which he or she was a member or held a particular ownership interest. Profit or loss for the fiscal year may be allocated ratably between the persons who were members on a daily basis using the company's usual accounting methods. Except as otherwise provided in IRC § 706(d)(3), the company's fiscal year may, in the alternative, be divided into two or more segments, and the net profit or loss for each segment allocated among the persons who were members, or who held particular ownership interests, during the segment. Decisions about the method of prorating profit or loss will be made by the members.</w:t>
      </w:r>
    </w:p>
    <w:p>
      <w:pPr>
        <w:pStyle w:val="BodyText"/>
        <w:numPr>
          <w:ilvl w:val="1"/>
          <w:numId w:val="1"/>
        </w:numPr>
        <w:rPr/>
      </w:pPr>
      <w:r>
        <w:rPr>
          <w:u w:val="single"/>
        </w:rPr>
        <w:t>IRC § 761 Election</w:t>
      </w:r>
      <w:r>
        <w:rPr/>
        <w:t>. If the sole members of the company are a husband and a wife who file a joint tax return and elect to have the company excluded from partnership treatment for income tax purposes under IRC § 761(f), all of the company's items of profit, loss, and separately stated items will be divided between the members in accordance with their ownership interests, and each member must report his or her share of such items as if it were attributable to a trade or business conducted by the member as a sole proprietor.</w:t>
      </w:r>
    </w:p>
    <w:p>
      <w:pPr>
        <w:pStyle w:val="BodyText"/>
        <w:numPr>
          <w:ilvl w:val="1"/>
          <w:numId w:val="1"/>
        </w:numPr>
        <w:rPr/>
      </w:pPr>
      <w:r>
        <w:rPr>
          <w:u w:val="single"/>
        </w:rPr>
        <w:t>S-Corp Election</w:t>
      </w:r>
      <w:r>
        <w:rPr/>
        <w:t>.  In the event that the Company has made an election to be taxed as an S Corporation it is the intent of the Company and the Members that the allocation of Net Income and Net Loss to the Members pursuant to this Agreement shall be consistent with the provisions of Code section 1366 dealing with the allocation of net income and net loss to S Corporation shareholders.</w:t>
      </w:r>
    </w:p>
    <w:p>
      <w:pPr>
        <w:pStyle w:val="BodyText"/>
        <w:numPr>
          <w:ilvl w:val="0"/>
          <w:numId w:val="1"/>
        </w:numPr>
        <w:rPr/>
      </w:pPr>
      <w:r>
        <w:rPr>
          <w:b/>
          <w:bCs/>
          <w:u w:val="none"/>
        </w:rPr>
        <w:t>Distributions</w:t>
      </w:r>
      <w:r>
        <w:rPr/>
        <w:t>:  Subject to the restrictions governing distributions under the Act, distributions of cash or assets may be made by the company to the members, at such times and in such amounts as the members decide. All distributions made to the members under this section will be made to members in proportion to their ownership interests.</w:t>
      </w:r>
    </w:p>
    <w:p>
      <w:pPr>
        <w:pStyle w:val="BodyText"/>
        <w:numPr>
          <w:ilvl w:val="0"/>
          <w:numId w:val="1"/>
        </w:numPr>
        <w:rPr>
          <w:b/>
          <w:bCs/>
        </w:rPr>
      </w:pPr>
      <w:r>
        <w:rPr>
          <w:b/>
          <w:bCs/>
        </w:rPr>
        <w:t>Administration of Company Business</w:t>
      </w:r>
    </w:p>
    <w:p>
      <w:pPr>
        <w:pStyle w:val="BodyText"/>
        <w:numPr>
          <w:ilvl w:val="1"/>
          <w:numId w:val="1"/>
        </w:numPr>
        <w:rPr/>
      </w:pPr>
      <w:r>
        <w:rPr>
          <w:u w:val="single"/>
        </w:rPr>
        <w:t>Management</w:t>
      </w:r>
      <w:r>
        <w:rPr/>
        <w:t>. The company is a member-managed LLC, and the members are vested with the exclusive authority to manage the company's business. Both members have the right to participate in the control and conduct of the company's business, and subject to the limitations imposed by the Act, this agreement, or action of the members, each member is an agent of the company and has authority to bind the company in the ordinary course of its business. For example, a member may:</w:t>
      </w:r>
    </w:p>
    <w:p>
      <w:pPr>
        <w:pStyle w:val="BodyText"/>
        <w:numPr>
          <w:ilvl w:val="2"/>
          <w:numId w:val="1"/>
        </w:numPr>
        <w:rPr/>
      </w:pPr>
      <w:r>
        <w:rPr/>
        <w:t>Expend the company's funds in the conduct of its business;</w:t>
      </w:r>
    </w:p>
    <w:p>
      <w:pPr>
        <w:pStyle w:val="BodyText"/>
        <w:numPr>
          <w:ilvl w:val="2"/>
          <w:numId w:val="1"/>
        </w:numPr>
        <w:rPr/>
      </w:pPr>
      <w:r>
        <w:rPr/>
        <w:t>Sign and deliver all agreements and documents that are necessary or desirable to carry out the company's business, including documents transferring, leasing, or granting a security interest in any of the company's assets, without additional signatures being required;</w:t>
      </w:r>
    </w:p>
    <w:p>
      <w:pPr>
        <w:pStyle w:val="BodyText"/>
        <w:numPr>
          <w:ilvl w:val="2"/>
          <w:numId w:val="1"/>
        </w:numPr>
        <w:rPr/>
      </w:pPr>
      <w:r>
        <w:rPr/>
        <w:t>Borrow money for use in the company's business and sign and deliver promissory notes or other negotiable or nonnegotiable evidences of the company's indebtedness along with mortgages, trust deeds, security agreements, pledge agreements, or other documents securing the indebtedness with assets of the company; and</w:t>
      </w:r>
    </w:p>
    <w:p>
      <w:pPr>
        <w:pStyle w:val="BodyText"/>
        <w:numPr>
          <w:ilvl w:val="2"/>
          <w:numId w:val="1"/>
        </w:numPr>
        <w:rPr/>
      </w:pPr>
      <w:r>
        <w:rPr/>
        <w:t>Engage such persons as may be advisable to operate the company's business.</w:t>
      </w:r>
    </w:p>
    <w:p>
      <w:pPr>
        <w:pStyle w:val="BodyText"/>
        <w:numPr>
          <w:ilvl w:val="1"/>
          <w:numId w:val="1"/>
        </w:numPr>
        <w:rPr/>
      </w:pPr>
      <w:r>
        <w:rPr>
          <w:u w:val="single"/>
        </w:rPr>
        <w:t>Actions by Members.</w:t>
      </w:r>
      <w:r>
        <w:rPr/>
        <w:t xml:space="preserve"> Except as otherwise provided in this agreement, all decisions relating to the business or affairs of the company will be decided by the affirmative vote or consent of both members. The members may act with or without a meeting.</w:t>
      </w:r>
    </w:p>
    <w:p>
      <w:pPr>
        <w:pStyle w:val="BodyText"/>
        <w:numPr>
          <w:ilvl w:val="1"/>
          <w:numId w:val="1"/>
        </w:numPr>
        <w:rPr/>
      </w:pPr>
      <w:r>
        <w:rPr>
          <w:u w:val="single"/>
        </w:rPr>
        <w:t>Approval of Other Member.</w:t>
      </w:r>
      <w:r>
        <w:rPr/>
        <w:t xml:space="preserve"> Neither member has authority to do any of the following without the prior written consent of the other member:</w:t>
      </w:r>
    </w:p>
    <w:p>
      <w:pPr>
        <w:pStyle w:val="BodyText"/>
        <w:numPr>
          <w:ilvl w:val="2"/>
          <w:numId w:val="1"/>
        </w:numPr>
        <w:rPr/>
      </w:pPr>
      <w:r>
        <w:rPr/>
        <w:t>Sell, lease, exchange, mortgage, pledge, or otherwise transfer or dispose of all or substantially all of the assets of the company;</w:t>
      </w:r>
    </w:p>
    <w:p>
      <w:pPr>
        <w:pStyle w:val="BodyText"/>
        <w:numPr>
          <w:ilvl w:val="2"/>
          <w:numId w:val="1"/>
        </w:numPr>
        <w:rPr/>
      </w:pPr>
      <w:r>
        <w:rPr/>
        <w:t>Merge the company with any other entity;</w:t>
      </w:r>
    </w:p>
    <w:p>
      <w:pPr>
        <w:pStyle w:val="BodyText"/>
        <w:numPr>
          <w:ilvl w:val="2"/>
          <w:numId w:val="1"/>
        </w:numPr>
        <w:rPr/>
      </w:pPr>
      <w:r>
        <w:rPr/>
        <w:t>Amend the articles of organization of the company or this agreement;</w:t>
      </w:r>
    </w:p>
    <w:p>
      <w:pPr>
        <w:pStyle w:val="BodyText"/>
        <w:numPr>
          <w:ilvl w:val="2"/>
          <w:numId w:val="1"/>
        </w:numPr>
        <w:rPr/>
      </w:pPr>
      <w:r>
        <w:rPr/>
        <w:t>Incur indebtedness by the company other than in the ordinary course of business;</w:t>
      </w:r>
    </w:p>
    <w:p>
      <w:pPr>
        <w:pStyle w:val="BodyText"/>
        <w:numPr>
          <w:ilvl w:val="2"/>
          <w:numId w:val="1"/>
        </w:numPr>
        <w:rPr/>
      </w:pPr>
      <w:r>
        <w:rPr/>
        <w:t>Authorize a transaction involving an actual or potential conflict of interest between a member and the company;</w:t>
      </w:r>
    </w:p>
    <w:p>
      <w:pPr>
        <w:pStyle w:val="BodyText"/>
        <w:numPr>
          <w:ilvl w:val="2"/>
          <w:numId w:val="1"/>
        </w:numPr>
        <w:rPr/>
      </w:pPr>
      <w:r>
        <w:rPr/>
        <w:t>Change the nature of the company's business; or</w:t>
      </w:r>
    </w:p>
    <w:p>
      <w:pPr>
        <w:pStyle w:val="BodyText"/>
        <w:numPr>
          <w:ilvl w:val="2"/>
          <w:numId w:val="1"/>
        </w:numPr>
        <w:rPr/>
      </w:pPr>
      <w:r>
        <w:rPr/>
        <w:t>Commence a voluntary bankruptcy case for the company.</w:t>
      </w:r>
    </w:p>
    <w:p>
      <w:pPr>
        <w:pStyle w:val="BodyText"/>
        <w:numPr>
          <w:ilvl w:val="1"/>
          <w:numId w:val="1"/>
        </w:numPr>
        <w:rPr/>
      </w:pPr>
      <w:r>
        <w:rPr>
          <w:u w:val="single"/>
        </w:rPr>
        <w:t>Compensation and Reimbursement.</w:t>
      </w:r>
      <w:r>
        <w:rPr/>
        <w:t xml:space="preserve"> Neither member is entitled to compensation for services rendered to the company. But members are entitled to reimbursement from the company for reasonable expenses incurred on its behalf, including expenses incurred in the formation, dissolution, and liquidation of the company.</w:t>
      </w:r>
    </w:p>
    <w:p>
      <w:pPr>
        <w:pStyle w:val="BodyText"/>
        <w:numPr>
          <w:ilvl w:val="1"/>
          <w:numId w:val="1"/>
        </w:numPr>
        <w:rPr/>
      </w:pPr>
      <w:r>
        <w:rPr>
          <w:u w:val="single"/>
        </w:rPr>
        <w:t>Outside Activities</w:t>
      </w:r>
      <w:r>
        <w:rPr/>
        <w:t>. Each member must devote so much time and attention to the business of the company as the members agree is appropriate. Members are not expected to devote their full time to the business of the company and, except as limited by the section of this agreement relating to fiduciary duties, may engage in business and investment activities outside the company. Neither the company nor the other member has any rights to the profits or benefits of such activities.</w:t>
      </w:r>
    </w:p>
    <w:p>
      <w:pPr>
        <w:pStyle w:val="BodyText"/>
        <w:numPr>
          <w:ilvl w:val="1"/>
          <w:numId w:val="1"/>
        </w:numPr>
        <w:rPr/>
      </w:pPr>
      <w:r>
        <w:rPr>
          <w:u w:val="single"/>
        </w:rPr>
        <w:t>Self-Interest.</w:t>
      </w:r>
      <w:r>
        <w:rPr/>
        <w:t xml:space="preserve"> A member does not violate any duty or obligation to the company merely as a result of engaging in conduct that furthers the member's interest. A member may lend money or transact other business with the company, and in this case, the rights and obligations of the member will be the same as those of a person who is not a member, so long as the loan or other transaction has been approved or ratified by both members. Unless otherwise provided by applicable law, a member with a financial interest in the outcome of a particular action is nevertheless entitled to vote on the action.</w:t>
      </w:r>
    </w:p>
    <w:p>
      <w:pPr>
        <w:pStyle w:val="BodyText"/>
        <w:numPr>
          <w:ilvl w:val="1"/>
          <w:numId w:val="1"/>
        </w:numPr>
        <w:rPr/>
      </w:pPr>
      <w:r>
        <w:rPr>
          <w:u w:val="single"/>
        </w:rPr>
        <w:t>Indemnification</w:t>
      </w:r>
      <w:r>
        <w:rPr/>
        <w:t>. The company must indemnify each of the members against all liability, loss, and costs (including attorneys' fees) incurred or suffered by the member in connection with the company or in connection with the member's participation in any other entity, association, or enterprise at the request of the company. The company may, by action of the members, provide indemnification to employees and agents who are not members. The indemnification required in this section is not exclusive of that required by any statute, agreement, resolution of members, contract, or otherwise. Notwithstanding any other provision of this agreement, the company has no obligation to indemnify a member for any liability arising out of: (a) a breach of the member's fiduciary duties to the company or the other member; (b) an act or omission not in good faith that involves intentional misconduct or a knowing violation of law; or (c) an unlawful distribution under the Act.</w:t>
      </w:r>
    </w:p>
    <w:p>
      <w:pPr>
        <w:pStyle w:val="BodyText"/>
        <w:numPr>
          <w:ilvl w:val="1"/>
          <w:numId w:val="1"/>
        </w:numPr>
        <w:rPr/>
      </w:pPr>
      <w:r>
        <w:rPr>
          <w:u w:val="single"/>
        </w:rPr>
        <w:t>Limited Liability.</w:t>
      </w:r>
      <w:r>
        <w:rPr/>
        <w:t xml:space="preserve"> Except as otherwise provided in the Act, no member has any personal liability for any obligation, expense, or liability of the company.</w:t>
      </w:r>
    </w:p>
    <w:p>
      <w:pPr>
        <w:pStyle w:val="BodyText"/>
        <w:numPr>
          <w:ilvl w:val="0"/>
          <w:numId w:val="1"/>
        </w:numPr>
        <w:rPr>
          <w:b/>
          <w:bCs/>
        </w:rPr>
      </w:pPr>
      <w:r>
        <w:rPr>
          <w:b/>
          <w:bCs/>
        </w:rPr>
        <w:t>Accounting and Records</w:t>
      </w:r>
    </w:p>
    <w:p>
      <w:pPr>
        <w:pStyle w:val="BodyText"/>
        <w:numPr>
          <w:ilvl w:val="1"/>
          <w:numId w:val="1"/>
        </w:numPr>
        <w:rPr/>
      </w:pPr>
      <w:r>
        <w:rPr>
          <w:u w:val="single"/>
        </w:rPr>
        <w:t>Books and Records</w:t>
      </w:r>
      <w:r>
        <w:rPr/>
        <w:t>. The members must keep such books and records relating to the operation of the company as are appropriate and adequate for the company's business and carrying out this agreement. At a minimum, the following must be maintained at the principal office of the company: (a) financial statements for the three most recent fiscal years; (b) federal, state, and local income tax returns for the three most recent fiscal years; (c) a register showing the names and current addresses of the members; (d) a copy of the company's articles of organization and any amendments; (e) this agreement and any amendments; (f) minutes of all meetings of members; and (g) all consents to action by members. Each member is entitled to access the company's books and records at all times.</w:t>
      </w:r>
    </w:p>
    <w:p>
      <w:pPr>
        <w:pStyle w:val="BodyText"/>
        <w:numPr>
          <w:ilvl w:val="1"/>
          <w:numId w:val="1"/>
        </w:numPr>
        <w:rPr/>
      </w:pPr>
      <w:r>
        <w:rPr>
          <w:u w:val="single"/>
        </w:rPr>
        <w:t>Banking</w:t>
      </w:r>
      <w:r>
        <w:rPr/>
        <w:t>. All funds of the company must be deposited in accounts in the company's name at banks or other financial institutions selected by the members. Funds may be withdrawn from the accounts on the signature of a person or persons designated by the members.</w:t>
      </w:r>
    </w:p>
    <w:p>
      <w:pPr>
        <w:pStyle w:val="BodyText"/>
        <w:numPr>
          <w:ilvl w:val="1"/>
          <w:numId w:val="1"/>
        </w:numPr>
        <w:rPr/>
      </w:pPr>
      <w:r>
        <w:rPr>
          <w:u w:val="single"/>
        </w:rPr>
        <w:t>Fiscal Year.</w:t>
      </w:r>
      <w:r>
        <w:rPr/>
        <w:t xml:space="preserve"> The fiscal year of the company will be the calendar year.</w:t>
      </w:r>
    </w:p>
    <w:p>
      <w:pPr>
        <w:pStyle w:val="BodyText"/>
        <w:numPr>
          <w:ilvl w:val="1"/>
          <w:numId w:val="1"/>
        </w:numPr>
        <w:rPr/>
      </w:pPr>
      <w:r>
        <w:rPr>
          <w:u w:val="single"/>
        </w:rPr>
        <w:t>Tax Returns and Information.</w:t>
      </w:r>
      <w:r>
        <w:rPr/>
        <w:t xml:space="preserve"> Unless the members elect to have the company excluded from partnership treatment for income tax purposes under IRC § 761(f), the company must prepare and file on a timely basis all required federal, state, and local income tax and other tax returns. Within 90 days after the end of each fiscal year, the company must deliver a Schedule K1 to each member showing the amounts of any income, gain, loss, deductions, or credits allocated to the member for the fiscal year. If an election is made to have the company excluded from partnership treatment, a schedule of the company's items of income, gain, loss, deduction, and credit must be delivered to the members within that 90-day period.</w:t>
      </w:r>
    </w:p>
    <w:p>
      <w:pPr>
        <w:pStyle w:val="BodyText"/>
        <w:numPr>
          <w:ilvl w:val="0"/>
          <w:numId w:val="1"/>
        </w:numPr>
        <w:rPr>
          <w:b/>
          <w:bCs/>
        </w:rPr>
      </w:pPr>
      <w:r>
        <w:rPr>
          <w:b/>
          <w:bCs/>
        </w:rPr>
        <w:t>Dissociation of Members</w:t>
      </w:r>
    </w:p>
    <w:p>
      <w:pPr>
        <w:pStyle w:val="BodyText"/>
        <w:numPr>
          <w:ilvl w:val="1"/>
          <w:numId w:val="1"/>
        </w:numPr>
        <w:rPr/>
      </w:pPr>
      <w:r>
        <w:rPr>
          <w:u w:val="single"/>
        </w:rPr>
        <w:t>Withdrawal</w:t>
      </w:r>
      <w:r>
        <w:rPr/>
        <w:t>. A member may withdraw from the company at any time but must give notice of withdrawal to the other member at least 30 days prior to the effective date of the withdrawal. The company will not be dissolved when a member withdraws. No notice of withdrawal may be given after a cross-offer notice has been given under the provision of this agreement relating to cross offer.</w:t>
      </w:r>
    </w:p>
    <w:p>
      <w:pPr>
        <w:pStyle w:val="BodyText"/>
        <w:numPr>
          <w:ilvl w:val="1"/>
          <w:numId w:val="1"/>
        </w:numPr>
        <w:rPr/>
      </w:pPr>
      <w:r>
        <w:rPr>
          <w:u w:val="single"/>
        </w:rPr>
        <w:t>Other Events of Dissociation</w:t>
      </w:r>
      <w:r>
        <w:rPr/>
        <w:t xml:space="preserve">. The death, incapacity, or bankruptcy of a member will result in dissociation of the member from the company. The company will not be dissolved upon the dissociation of a member </w:t>
      </w:r>
    </w:p>
    <w:p>
      <w:pPr>
        <w:pStyle w:val="BodyText"/>
        <w:numPr>
          <w:ilvl w:val="0"/>
          <w:numId w:val="1"/>
        </w:numPr>
        <w:rPr>
          <w:b/>
          <w:bCs/>
        </w:rPr>
      </w:pPr>
      <w:r>
        <w:rPr>
          <w:b/>
          <w:bCs/>
        </w:rPr>
        <w:t>Transfer of Members' Interests</w:t>
      </w:r>
    </w:p>
    <w:p>
      <w:pPr>
        <w:pStyle w:val="BodyText"/>
        <w:numPr>
          <w:ilvl w:val="1"/>
          <w:numId w:val="1"/>
        </w:numPr>
        <w:rPr/>
      </w:pPr>
      <w:r>
        <w:rPr>
          <w:u w:val="single"/>
        </w:rPr>
        <w:t>Effect of Transfer</w:t>
      </w:r>
      <w:r>
        <w:rPr/>
        <w:t>. Member's interests in the company are transferable. If a member who is the only member of the company assigns the member's entire interest, the transferee will be admitted as a member of the company effective at the time of the transfer. Otherwise, the transferee will be admitted as a member of the company only with the consent of the other member, and consent may be withheld reasonably or unreasonably. If a transferee is not admitted as a member, the transferee will be allocated the portion of the company's profits or losses belonging to the transferred interest and will have the right to receive distributions from the company with respect to the interest. But the transferee will not have the other rights of a member, including the right to participate in the management of the company, to act on behalf of the company, or to inspect records of the company.</w:t>
      </w:r>
    </w:p>
    <w:p>
      <w:pPr>
        <w:pStyle w:val="BodyText"/>
        <w:numPr>
          <w:ilvl w:val="1"/>
          <w:numId w:val="1"/>
        </w:numPr>
        <w:rPr/>
      </w:pPr>
      <w:r>
        <w:rPr>
          <w:u w:val="single"/>
        </w:rPr>
        <w:t>Definition of Transfer.</w:t>
      </w:r>
      <w:r>
        <w:rPr/>
        <w:t xml:space="preserve"> For the purpose of this agreement, a "transfer" includes a sale, exchange, pledge, or other disposition, whether voluntary, involuntary, or by operation of law.</w:t>
      </w:r>
    </w:p>
    <w:p>
      <w:pPr>
        <w:pStyle w:val="BodyText"/>
        <w:numPr>
          <w:ilvl w:val="1"/>
          <w:numId w:val="1"/>
        </w:numPr>
        <w:rPr/>
      </w:pPr>
      <w:r>
        <w:rPr>
          <w:u w:val="single"/>
        </w:rPr>
        <w:t>Restrictions on Transfer</w:t>
      </w:r>
      <w:r>
        <w:rPr/>
        <w:t>.  In the event that the Company has elected to be taxed as an S Corporation no Member (or successor thereto) may transfer, and no person may acquire, the beneficial ownership of any Membership Interest if such transfer would cause the Company's S Election to terminate.  Specifically, no transfer may be made to, and no acquisition may be made to any one other than a Qualified Person.  The term “Qualified Person” shall meany any person or entity that is NOT.</w:t>
      </w:r>
    </w:p>
    <w:p>
      <w:pPr>
        <w:pStyle w:val="BodyText"/>
        <w:numPr>
          <w:ilvl w:val="2"/>
          <w:numId w:val="1"/>
        </w:numPr>
        <w:jc w:val="both"/>
        <w:rPr/>
      </w:pPr>
      <w:r>
        <w:rPr/>
        <w:t>nonresident alien</w:t>
      </w:r>
    </w:p>
    <w:p>
      <w:pPr>
        <w:pStyle w:val="BodyText"/>
        <w:numPr>
          <w:ilvl w:val="2"/>
          <w:numId w:val="1"/>
        </w:numPr>
        <w:jc w:val="both"/>
        <w:rPr/>
      </w:pPr>
      <w:r>
        <w:rPr/>
        <w:t xml:space="preserve">a person other than an individual, and an estate or type of trust permitted to qualify as a shareholder of an S Corporation; or </w:t>
      </w:r>
    </w:p>
    <w:p>
      <w:pPr>
        <w:pStyle w:val="BodyText"/>
        <w:numPr>
          <w:ilvl w:val="2"/>
          <w:numId w:val="1"/>
        </w:numPr>
        <w:jc w:val="both"/>
        <w:rPr/>
      </w:pPr>
      <w:r>
        <w:rPr/>
        <w:t>a person otherwise eligible to be a Member who would cause the Company to have more than 100 Members.</w:t>
      </w:r>
    </w:p>
    <w:p>
      <w:pPr>
        <w:pStyle w:val="BodyText"/>
        <w:numPr>
          <w:ilvl w:val="0"/>
          <w:numId w:val="1"/>
        </w:numPr>
        <w:rPr>
          <w:b/>
          <w:bCs/>
        </w:rPr>
      </w:pPr>
      <w:r>
        <w:rPr>
          <w:b/>
          <w:bCs/>
        </w:rPr>
        <w:t>Cross Offer</w:t>
      </w:r>
    </w:p>
    <w:p>
      <w:pPr>
        <w:pStyle w:val="BodyText"/>
        <w:numPr>
          <w:ilvl w:val="1"/>
          <w:numId w:val="1"/>
        </w:numPr>
        <w:rPr/>
      </w:pPr>
      <w:r>
        <w:rPr>
          <w:u w:val="single"/>
        </w:rPr>
        <w:t>Cross Offer Notice</w:t>
      </w:r>
      <w:r>
        <w:rPr/>
        <w:t>. If the marriage of the members is dissolved or they become legally separated, either member (the "initiating member") may, at any time thereafter, give notice (the "cross offer notice") to the other member of the initiating member's intent to either purchase the other member's interest in the company or sell the initiating member's interest to the other member. The cross offer notice must set forth the proposed price and terms of payment, which will apply whether the initiating member makes a purchase or a sale. No cross offer notice can be given while the other member's offer to purchase or sell under a cross offer notice is outstanding.</w:t>
      </w:r>
    </w:p>
    <w:p>
      <w:pPr>
        <w:pStyle w:val="BodyText"/>
        <w:numPr>
          <w:ilvl w:val="1"/>
          <w:numId w:val="1"/>
        </w:numPr>
        <w:rPr/>
      </w:pPr>
      <w:r>
        <w:rPr>
          <w:u w:val="single"/>
        </w:rPr>
        <w:t>Response</w:t>
      </w:r>
      <w:r>
        <w:rPr/>
        <w:t>. The other member has a period of 30 days after receiving a cross offer notice to elect whether to sell his or her interest in the company or to purchase the interest of the initiating member. The election must be made by giving notice to the initiating member within 30 days after the cross offer notice is given. If the other member fails to make an election or fails to provide timely notice of the election to the initiating member within this period of time, the other member will be deemed to have elected to sell his or her interest to the initiating member.</w:t>
      </w:r>
    </w:p>
    <w:p>
      <w:pPr>
        <w:pStyle w:val="BodyText"/>
        <w:numPr>
          <w:ilvl w:val="1"/>
          <w:numId w:val="1"/>
        </w:numPr>
        <w:rPr/>
      </w:pPr>
      <w:r>
        <w:rPr>
          <w:u w:val="single"/>
        </w:rPr>
        <w:t>Closing of Purchase or Sale.</w:t>
      </w:r>
      <w:r>
        <w:rPr/>
        <w:t xml:space="preserve"> A purchase or sale resulting from a cross offer notice must be closed within 60 days after the other member gives notice of his or her response to the cross offer notice, or if no response is given, 60 days from the expiration of the period for the other member to respond to the cross offer notice.</w:t>
      </w:r>
    </w:p>
    <w:p>
      <w:pPr>
        <w:pStyle w:val="BodyText"/>
        <w:numPr>
          <w:ilvl w:val="1"/>
          <w:numId w:val="1"/>
        </w:numPr>
        <w:rPr/>
      </w:pPr>
      <w:r>
        <w:rPr>
          <w:u w:val="single"/>
        </w:rPr>
        <w:t>Notice</w:t>
      </w:r>
      <w:r>
        <w:rPr/>
        <w:t>. All notices relating to cross offers must be in writing and delivered personally or mailed by certified mail, return receipt requested, with postage prepaid, addressed to the member to whom the notice is directed at the address shown in the company's records. The address to which notices are to be mailed may be changed from time to time by a member's giving written notice to the other member and the company. All mailed notices will be deemed to be given at the expiration of three days after the date of mailing.</w:t>
      </w:r>
    </w:p>
    <w:p>
      <w:pPr>
        <w:pStyle w:val="BodyText"/>
        <w:numPr>
          <w:ilvl w:val="0"/>
          <w:numId w:val="1"/>
        </w:numPr>
        <w:rPr>
          <w:b/>
          <w:bCs/>
        </w:rPr>
      </w:pPr>
      <w:r>
        <w:rPr>
          <w:b/>
          <w:bCs/>
        </w:rPr>
        <w:t>Dissolution and Winding Up</w:t>
      </w:r>
    </w:p>
    <w:p>
      <w:pPr>
        <w:pStyle w:val="BodyText"/>
        <w:numPr>
          <w:ilvl w:val="1"/>
          <w:numId w:val="1"/>
        </w:numPr>
        <w:rPr/>
      </w:pPr>
      <w:r>
        <w:rPr>
          <w:u w:val="single"/>
        </w:rPr>
        <w:t>Causes of Dissolution</w:t>
      </w:r>
      <w:r>
        <w:rPr/>
        <w:t>. The company will dissolve on the earliest of the following events: (a) the withdrawal of a member; (b) the death, incapacity, or bankruptcy of a member, unless an agreement is reached with the member's successor in interest to continue the company; (c) approval of a dissolution of the company by consent of both members; or (d) at such time as the company has no members.</w:t>
      </w:r>
    </w:p>
    <w:p>
      <w:pPr>
        <w:pStyle w:val="BodyText"/>
        <w:numPr>
          <w:ilvl w:val="1"/>
          <w:numId w:val="1"/>
        </w:numPr>
        <w:rPr/>
      </w:pPr>
      <w:r>
        <w:rPr>
          <w:u w:val="single"/>
        </w:rPr>
        <w:t>Liquidation after Dissolution</w:t>
      </w:r>
      <w:r>
        <w:rPr/>
        <w:t>. Following dissolution of the company, the members must wind up its affairs. A full account must be taken of the assets and liabilities of the company, and the assets of the company must be liquidated unless it is to be distributed to creditors or members in kind. The net assets of the company must then be applied and distributed in the following order of priority:</w:t>
      </w:r>
    </w:p>
    <w:p>
      <w:pPr>
        <w:pStyle w:val="BodyText"/>
        <w:numPr>
          <w:ilvl w:val="2"/>
          <w:numId w:val="1"/>
        </w:numPr>
        <w:rPr/>
      </w:pPr>
      <w:r>
        <w:rPr/>
        <w:t>To the creditors of the company in satisfaction of liabilities and obligations of the company, including, to the extent permitted by law, liabilities and obligations owed to members as creditors (except liabilities for unpaid distributions);</w:t>
      </w:r>
    </w:p>
    <w:p>
      <w:pPr>
        <w:pStyle w:val="BodyText"/>
        <w:numPr>
          <w:ilvl w:val="2"/>
          <w:numId w:val="1"/>
        </w:numPr>
        <w:rPr/>
      </w:pPr>
      <w:r>
        <w:rPr/>
        <w:t>To any reserves set up for contingent or unliquidated liabilities or obligations of the company deemed reasonably necessary by the members, which reserves may be delivered to an escrow agent to be held for disbursement in satisfaction of the liabilities and obligations of the company, with any excess being distributed to the members as provided in the following subsection; and</w:t>
      </w:r>
    </w:p>
    <w:p>
      <w:pPr>
        <w:pStyle w:val="BodyText"/>
        <w:numPr>
          <w:ilvl w:val="2"/>
          <w:numId w:val="1"/>
        </w:numPr>
        <w:rPr/>
      </w:pPr>
      <w:r>
        <w:rPr/>
        <w:t>To the members in proportion to the positive balances of their capital accounts, after taking into account all adjustments made to capital accounts for the fiscal year during which distributions are made. If capital accounts are not maintained, this amount must be distributed to the members in equal shares.</w:t>
      </w:r>
    </w:p>
    <w:p>
      <w:pPr>
        <w:pStyle w:val="BodyText"/>
        <w:numPr>
          <w:ilvl w:val="1"/>
          <w:numId w:val="1"/>
        </w:numPr>
        <w:rPr/>
      </w:pPr>
      <w:r>
        <w:rPr>
          <w:u w:val="single"/>
        </w:rPr>
        <w:t>Distribution of Assets in Kind</w:t>
      </w:r>
      <w:r>
        <w:rPr/>
        <w:t>. Assets of the company may be distributed in kind in the process of winding up with the approval of both members. As provided in Treas. Reg. §1.704 1(b)(2)(iv)(e)(1), any assets distributed in kind must be valued and treated for the company's accounting purposes as though the assets had been sold at fair market value on the date of distribution. The difference between the fair market value of the assets and their adjusted tax basis will be treated as a gain or loss on the sale of the assets and will be credited or charged to the members' capital accounts in the manner specified in the section of this agreement relating to capital accounts, but it will not be treated as gain or loss recognized by the company for income tax purposes.</w:t>
      </w:r>
    </w:p>
    <w:p>
      <w:pPr>
        <w:pStyle w:val="BodyText"/>
        <w:numPr>
          <w:ilvl w:val="1"/>
          <w:numId w:val="1"/>
        </w:numPr>
        <w:rPr/>
      </w:pPr>
      <w:r>
        <w:rPr>
          <w:u w:val="single"/>
        </w:rPr>
        <w:t>Negative Capital Accounts</w:t>
      </w:r>
      <w:r>
        <w:rPr/>
        <w:t>. If there is a negative balance in a member's capital account after the business of the company is wound up, the member will have no obligation to make any contribution to the capital of the company to make up the deficit, and the deficit will not be considered a debt owed to the company or any other person for any purpose.</w:t>
      </w:r>
    </w:p>
    <w:p>
      <w:pPr>
        <w:pStyle w:val="BodyText"/>
        <w:numPr>
          <w:ilvl w:val="0"/>
          <w:numId w:val="1"/>
        </w:numPr>
        <w:jc w:val="both"/>
        <w:rPr/>
      </w:pPr>
      <w:r>
        <w:rPr>
          <w:b/>
          <w:bCs/>
        </w:rPr>
        <w:t>Fiduciary Duties of the Members</w:t>
      </w:r>
    </w:p>
    <w:p>
      <w:pPr>
        <w:pStyle w:val="BodyText"/>
        <w:numPr>
          <w:ilvl w:val="1"/>
          <w:numId w:val="1"/>
        </w:numPr>
        <w:jc w:val="both"/>
        <w:rPr>
          <w:b w:val="false"/>
          <w:bCs w:val="false"/>
        </w:rPr>
      </w:pPr>
      <w:r>
        <w:rPr>
          <w:b w:val="false"/>
          <w:bCs w:val="false"/>
        </w:rPr>
        <w:t>Members’ Fiduciary Duty of Loyalty</w:t>
      </w:r>
    </w:p>
    <w:p>
      <w:pPr>
        <w:pStyle w:val="BodyText"/>
        <w:numPr>
          <w:ilvl w:val="2"/>
          <w:numId w:val="1"/>
        </w:numPr>
        <w:jc w:val="both"/>
        <w:rPr/>
      </w:pPr>
      <w:r>
        <w:rPr>
          <w:u w:val="single"/>
        </w:rPr>
        <w:t>Fiduciary Duty of Loyalty</w:t>
      </w:r>
      <w:r>
        <w:rPr/>
        <w:t>.  In all matters arising under or relating to this Agreement or relating to the business and internal affairs of the Company, each Member shall, except as expressly provided for herein, owe a fiduciary duty of loyalty to the Company and to the other Members.</w:t>
      </w:r>
    </w:p>
    <w:p>
      <w:pPr>
        <w:pStyle w:val="BodyText"/>
        <w:numPr>
          <w:ilvl w:val="2"/>
          <w:numId w:val="1"/>
        </w:numPr>
        <w:jc w:val="both"/>
        <w:rPr/>
      </w:pPr>
      <w:r>
        <w:rPr>
          <w:u w:val="single"/>
        </w:rPr>
        <w:t>Fiduciary Duty of Loyalty—Definition</w:t>
      </w:r>
      <w:r>
        <w:rPr/>
        <w:t xml:space="preserve">.  For purposes of this Agreement, a Member’s fiduciary duty of loyalty means the Member’s fiduciary duty to act in a manner that the Member reasonably believes to be in or not opposed to the best interest of the Company and of the other Member. </w:t>
      </w:r>
    </w:p>
    <w:p>
      <w:pPr>
        <w:pStyle w:val="BodyText"/>
        <w:numPr>
          <w:ilvl w:val="1"/>
          <w:numId w:val="1"/>
        </w:numPr>
        <w:jc w:val="both"/>
        <w:rPr/>
      </w:pPr>
      <w:r>
        <w:rPr>
          <w:u w:val="single"/>
        </w:rPr>
        <w:t>Members’ Fiduciary Duty Not to Compete against the Company, Etc</w:t>
      </w:r>
      <w:r>
        <w:rPr/>
        <w:t xml:space="preserve">. </w:t>
      </w:r>
    </w:p>
    <w:p>
      <w:pPr>
        <w:pStyle w:val="BodyText"/>
        <w:numPr>
          <w:ilvl w:val="2"/>
          <w:numId w:val="1"/>
        </w:numPr>
        <w:jc w:val="both"/>
        <w:rPr/>
      </w:pPr>
      <w:r>
        <w:rPr/>
        <w:t>Non-competition.  In any geographical area where the Company is engaged in business or has definite plans (as evidenced by Company records) to engage in business, a Member during the period of the Member’s tenure as a Member and until the second anniversary of the date on which the Member ceases to be a Member shall not directly or indirectly (whether in person, through an entity that the Member partially or wholly owns or otherwise) do the following:</w:t>
      </w:r>
    </w:p>
    <w:p>
      <w:pPr>
        <w:pStyle w:val="BodyText"/>
        <w:numPr>
          <w:ilvl w:val="3"/>
          <w:numId w:val="1"/>
        </w:numPr>
        <w:jc w:val="both"/>
        <w:rPr/>
      </w:pPr>
      <w:r>
        <w:rPr/>
        <w:t>Compete against the Company;</w:t>
      </w:r>
    </w:p>
    <w:p>
      <w:pPr>
        <w:pStyle w:val="BodyText"/>
        <w:numPr>
          <w:ilvl w:val="3"/>
          <w:numId w:val="1"/>
        </w:numPr>
        <w:jc w:val="both"/>
        <w:rPr/>
      </w:pPr>
      <w:r>
        <w:rPr/>
        <w:t>Induce or seek to induce the other Member or any employee of the Company to work for any other business; or</w:t>
      </w:r>
    </w:p>
    <w:p>
      <w:pPr>
        <w:pStyle w:val="BodyText"/>
        <w:numPr>
          <w:ilvl w:val="3"/>
          <w:numId w:val="1"/>
        </w:numPr>
        <w:jc w:val="both"/>
        <w:rPr/>
      </w:pPr>
      <w:r>
        <w:rPr/>
        <w:t>Otherwise interfere or seek to interfere with the Company’s business relations.</w:t>
      </w:r>
    </w:p>
    <w:p>
      <w:pPr>
        <w:pStyle w:val="BodyText"/>
        <w:numPr>
          <w:ilvl w:val="2"/>
          <w:numId w:val="1"/>
        </w:numPr>
        <w:jc w:val="both"/>
        <w:rPr/>
      </w:pPr>
      <w:r>
        <w:rPr/>
        <w:t>The Members acknowledge that the purpose, duration, geographical scope and other terms of the restrictions imposed on them under this Section are reasonable.</w:t>
      </w:r>
    </w:p>
    <w:p>
      <w:pPr>
        <w:pStyle w:val="BodyText"/>
        <w:numPr>
          <w:ilvl w:val="2"/>
          <w:numId w:val="1"/>
        </w:numPr>
        <w:jc w:val="both"/>
        <w:rPr/>
      </w:pPr>
      <w:r>
        <w:rPr>
          <w:u w:val="single"/>
        </w:rPr>
        <w:t>Competition with Consent of Other Members</w:t>
      </w:r>
      <w:r>
        <w:rPr/>
        <w:t xml:space="preserve">.  A Member may take an action inconsistent with the non compete provisions of this Sections if (i) the Member discloses in advance to the other Member all material facts concerning the action; and (ii) the other Members give advance written consent to the action.  </w:t>
      </w:r>
    </w:p>
    <w:p>
      <w:pPr>
        <w:pStyle w:val="BodyText"/>
        <w:numPr>
          <w:ilvl w:val="1"/>
          <w:numId w:val="1"/>
        </w:numPr>
        <w:jc w:val="both"/>
        <w:rPr/>
      </w:pPr>
      <w:r>
        <w:rPr>
          <w:u w:val="single"/>
        </w:rPr>
        <w:t>Members’ Fiduciary Duty with Respect to Company Business Opportunities</w:t>
      </w:r>
      <w:r>
        <w:rPr>
          <w:u w:val="none"/>
        </w:rPr>
        <w:t xml:space="preserve"> - </w:t>
      </w:r>
      <w:r>
        <w:rPr/>
        <w:t>If, in performing management responsibilities for the Company, a Member learns of a business opportunity that may be of material value to the Company (whether or not the opportunity may involve competition with the Company), the Member shall promptly disclose the opportunity to the other Member and shall not exploit it for the Member’s personal benefit except in the following circumstances:</w:t>
      </w:r>
    </w:p>
    <w:p>
      <w:pPr>
        <w:pStyle w:val="BodyText"/>
        <w:numPr>
          <w:ilvl w:val="2"/>
          <w:numId w:val="1"/>
        </w:numPr>
        <w:jc w:val="both"/>
        <w:rPr/>
      </w:pPr>
      <w:r>
        <w:rPr/>
        <w:t>Within 14 business days after receiving notice of it from the Member, the other Member gives the Member the other Member’s advance written consent to exploit the opportunity; or</w:t>
      </w:r>
    </w:p>
    <w:p>
      <w:pPr>
        <w:pStyle w:val="BodyText"/>
        <w:numPr>
          <w:ilvl w:val="2"/>
          <w:numId w:val="1"/>
        </w:numPr>
        <w:jc w:val="both"/>
        <w:rPr/>
      </w:pPr>
      <w:r>
        <w:rPr/>
        <w:t xml:space="preserve">After the other Member decides that the Company should exploit it: </w:t>
      </w:r>
    </w:p>
    <w:p>
      <w:pPr>
        <w:pStyle w:val="BodyText"/>
        <w:numPr>
          <w:ilvl w:val="3"/>
          <w:numId w:val="1"/>
        </w:numPr>
        <w:jc w:val="both"/>
        <w:rPr/>
      </w:pPr>
      <w:r>
        <w:rPr/>
        <w:t>The Company fails to begin material implementation of this decision within 30 days after it is made; or</w:t>
      </w:r>
    </w:p>
    <w:p>
      <w:pPr>
        <w:pStyle w:val="BodyText"/>
        <w:numPr>
          <w:ilvl w:val="3"/>
          <w:numId w:val="1"/>
        </w:numPr>
        <w:jc w:val="both"/>
        <w:rPr/>
      </w:pPr>
      <w:r>
        <w:rPr/>
        <w:t xml:space="preserve">The Company begins this implementation but fails to make meaningful efforts to continue it. </w:t>
      </w:r>
    </w:p>
    <w:p>
      <w:pPr>
        <w:pStyle w:val="BodyText"/>
        <w:numPr>
          <w:ilvl w:val="1"/>
          <w:numId w:val="1"/>
        </w:numPr>
        <w:jc w:val="both"/>
        <w:rPr>
          <w:u w:val="single"/>
        </w:rPr>
      </w:pPr>
      <w:r>
        <w:rPr>
          <w:u w:val="single"/>
        </w:rPr>
        <w:t>Members’ Fiduciary Duty in Doing Business with the Company</w:t>
      </w:r>
    </w:p>
    <w:p>
      <w:pPr>
        <w:pStyle w:val="BodyText"/>
        <w:numPr>
          <w:ilvl w:val="2"/>
          <w:numId w:val="1"/>
        </w:numPr>
        <w:jc w:val="both"/>
        <w:rPr/>
      </w:pPr>
      <w:r>
        <w:rPr>
          <w:u w:val="single"/>
        </w:rPr>
        <w:t>Duty of Disclosure</w:t>
      </w:r>
      <w:r>
        <w:rPr/>
        <w:t>.  The Member shall not engage directly or indirectly in any business transaction with the Company on the Member’s own behalf or on behalf of any disclosed or undisclosed third party unless:</w:t>
      </w:r>
    </w:p>
    <w:p>
      <w:pPr>
        <w:pStyle w:val="BodyText"/>
        <w:numPr>
          <w:ilvl w:val="3"/>
          <w:numId w:val="1"/>
        </w:numPr>
        <w:jc w:val="both"/>
        <w:rPr/>
      </w:pPr>
      <w:r>
        <w:rPr/>
        <w:t xml:space="preserve">The Member makes full advance disclosure to the other Members about the transaction; and </w:t>
      </w:r>
    </w:p>
    <w:p>
      <w:pPr>
        <w:pStyle w:val="BodyText"/>
        <w:numPr>
          <w:ilvl w:val="3"/>
          <w:numId w:val="1"/>
        </w:numPr>
        <w:jc w:val="both"/>
        <w:rPr/>
      </w:pPr>
      <w:r>
        <w:rPr/>
        <w:t xml:space="preserve">The other Members give advance written consent to the transaction.    </w:t>
      </w:r>
    </w:p>
    <w:p>
      <w:pPr>
        <w:pStyle w:val="BodyText"/>
        <w:numPr>
          <w:ilvl w:val="2"/>
          <w:numId w:val="1"/>
        </w:numPr>
        <w:jc w:val="both"/>
        <w:rPr/>
      </w:pPr>
      <w:r>
        <w:rPr>
          <w:u w:val="single"/>
        </w:rPr>
        <w:t>Arm’s-length Terms</w:t>
      </w:r>
      <w:r>
        <w:rPr/>
        <w:t>.  The terms of any business transaction permitted under this Section shall be arm’s-length terms.</w:t>
      </w:r>
    </w:p>
    <w:p>
      <w:pPr>
        <w:pStyle w:val="BodyText"/>
        <w:numPr>
          <w:ilvl w:val="1"/>
          <w:numId w:val="1"/>
        </w:numPr>
        <w:jc w:val="both"/>
        <w:rPr>
          <w:u w:val="single"/>
        </w:rPr>
      </w:pPr>
      <w:r>
        <w:rPr>
          <w:u w:val="single"/>
        </w:rPr>
        <w:t>Members’ Fiduciary Duty to Avoid Improper Personal Benefits</w:t>
      </w:r>
    </w:p>
    <w:p>
      <w:pPr>
        <w:pStyle w:val="BodyText"/>
        <w:numPr>
          <w:ilvl w:val="2"/>
          <w:numId w:val="1"/>
        </w:numPr>
        <w:jc w:val="both"/>
        <w:rPr/>
      </w:pPr>
      <w:r>
        <w:rPr>
          <w:u w:val="single"/>
        </w:rPr>
        <w:t>Duty to Disclose Personal Benefits, Etc</w:t>
      </w:r>
      <w:r>
        <w:rPr/>
        <w:t>.  If a Member receives an improper personal benefit (as defined in in this next paragraph) the Member shall promptly disclose this benefit to the other Member and, except as provided in subsection "C" of this Section shall promptly transfer it to the Company.</w:t>
      </w:r>
    </w:p>
    <w:p>
      <w:pPr>
        <w:pStyle w:val="BodyText"/>
        <w:numPr>
          <w:ilvl w:val="2"/>
          <w:numId w:val="1"/>
        </w:numPr>
        <w:jc w:val="both"/>
        <w:rPr/>
      </w:pPr>
      <w:r>
        <w:rPr>
          <w:u w:val="single"/>
        </w:rPr>
        <w:t>Improper Personal Benefit – Definition</w:t>
      </w:r>
      <w:r>
        <w:rPr/>
        <w:t>.  For purposes of this Agreement, an improper personal benefit shall mean a material amount of cash or anything else of material value:</w:t>
      </w:r>
    </w:p>
    <w:p>
      <w:pPr>
        <w:pStyle w:val="BodyText"/>
        <w:numPr>
          <w:ilvl w:val="3"/>
          <w:numId w:val="1"/>
        </w:numPr>
        <w:jc w:val="both"/>
        <w:rPr/>
      </w:pPr>
      <w:r>
        <w:rPr/>
        <w:t>That a Member receives from any third party (i) in connection with the Member’s performance of the Member’s responsibilities under this Agreement; or (ii) by reason of the Member’s status as a Member; and</w:t>
      </w:r>
    </w:p>
    <w:p>
      <w:pPr>
        <w:pStyle w:val="BodyText"/>
        <w:numPr>
          <w:ilvl w:val="3"/>
          <w:numId w:val="1"/>
        </w:numPr>
        <w:jc w:val="both"/>
        <w:rPr/>
      </w:pPr>
      <w:r>
        <w:rPr/>
        <w:t>That, at the time of its receipt, is not approved as a benefit to the Member under this Agreement.</w:t>
      </w:r>
    </w:p>
    <w:p>
      <w:pPr>
        <w:pStyle w:val="BodyText"/>
        <w:numPr>
          <w:ilvl w:val="2"/>
          <w:numId w:val="1"/>
        </w:numPr>
        <w:jc w:val="both"/>
        <w:rPr/>
      </w:pPr>
      <w:r>
        <w:rPr>
          <w:u w:val="single"/>
        </w:rPr>
        <w:t>Conditions for Retention of Personal Benefits</w:t>
      </w:r>
      <w:r>
        <w:rPr/>
        <w:t xml:space="preserve">.  A Member may retain an otherwise improper personal benefit, and the benefit shall not be deemed to be improper, if the Member is authorized to retain it by this Agreement or by advance written consent of the other Members.  </w:t>
      </w:r>
    </w:p>
    <w:p>
      <w:pPr>
        <w:pStyle w:val="BodyText"/>
        <w:numPr>
          <w:ilvl w:val="1"/>
          <w:numId w:val="1"/>
        </w:numPr>
        <w:jc w:val="both"/>
        <w:rPr/>
      </w:pPr>
      <w:r>
        <w:rPr>
          <w:u w:val="single"/>
        </w:rPr>
        <w:t>Members’ Fiduciary Duty in Using Company Property, Etc</w:t>
      </w:r>
      <w:r>
        <w:rPr/>
        <w:t>. - Members shall make use of Company property, cash or services (including Company records, information or intellectual property) or of the Member’s position as a Member for any purpose except to benefit the Company unless:</w:t>
      </w:r>
    </w:p>
    <w:p>
      <w:pPr>
        <w:pStyle w:val="BodyText"/>
        <w:numPr>
          <w:ilvl w:val="2"/>
          <w:numId w:val="1"/>
        </w:numPr>
        <w:jc w:val="both"/>
        <w:rPr/>
      </w:pPr>
      <w:r>
        <w:rPr/>
        <w:t>The Member first advises the other Member of the Member’s intent to do so; and</w:t>
      </w:r>
    </w:p>
    <w:p>
      <w:pPr>
        <w:pStyle w:val="BodyText"/>
        <w:numPr>
          <w:ilvl w:val="2"/>
          <w:numId w:val="1"/>
        </w:numPr>
        <w:jc w:val="both"/>
        <w:rPr/>
      </w:pPr>
      <w:r>
        <w:rPr/>
        <w:t xml:space="preserve">The other Members gives advance written consent to the use.  </w:t>
      </w:r>
    </w:p>
    <w:p>
      <w:pPr>
        <w:pStyle w:val="BodyText"/>
        <w:numPr>
          <w:ilvl w:val="1"/>
          <w:numId w:val="1"/>
        </w:numPr>
        <w:jc w:val="both"/>
        <w:rPr/>
      </w:pPr>
      <w:r>
        <w:rPr>
          <w:u w:val="single"/>
        </w:rPr>
        <w:t>Members’ Fiduciary Duty of Good Faith</w:t>
      </w:r>
      <w:r>
        <w:rPr/>
        <w:t xml:space="preserve"> - In all matters relating to the business and internal affairs of the Company, the Members shall act in good faith.</w:t>
      </w:r>
    </w:p>
    <w:p>
      <w:pPr>
        <w:pStyle w:val="BodyText"/>
        <w:numPr>
          <w:ilvl w:val="1"/>
          <w:numId w:val="1"/>
        </w:numPr>
        <w:jc w:val="both"/>
        <w:rPr>
          <w:u w:val="single"/>
        </w:rPr>
      </w:pPr>
      <w:r>
        <w:rPr>
          <w:u w:val="single"/>
        </w:rPr>
        <w:t>Members’ Duty of Confidentiality</w:t>
      </w:r>
    </w:p>
    <w:p>
      <w:pPr>
        <w:pStyle w:val="BodyText"/>
        <w:numPr>
          <w:ilvl w:val="2"/>
          <w:numId w:val="1"/>
        </w:numPr>
        <w:jc w:val="both"/>
        <w:rPr/>
      </w:pPr>
      <w:r>
        <w:rPr>
          <w:u w:val="single"/>
        </w:rPr>
        <w:t>General Rule.</w:t>
      </w:r>
      <w:r>
        <w:rPr/>
        <w:t xml:space="preserve">  In the absence of a final order to the contrary by a court or other governmental authority of competent jurisdiction, each Member shall maintain in confidence (i) all information relating to the Company; and (ii) all information in the possession or control of the Company that is reasonably identified as confidential in the Company’s records or that the Member knows or reasonably should know requires confidentiality in the Company’s best interest.  </w:t>
      </w:r>
    </w:p>
    <w:p>
      <w:pPr>
        <w:pStyle w:val="BodyText"/>
        <w:numPr>
          <w:ilvl w:val="2"/>
          <w:numId w:val="1"/>
        </w:numPr>
        <w:jc w:val="both"/>
        <w:rPr/>
      </w:pPr>
      <w:r>
        <w:rPr>
          <w:u w:val="single"/>
        </w:rPr>
        <w:t>Exception</w:t>
      </w:r>
      <w:r>
        <w:rPr/>
        <w:t xml:space="preserve">.  However, a Member may copy and use the above information and, under appropriate conditions of confidentiality, may disclose it to the extent necessary or appropriate for the performance of the Member’s duties under this Agreement. </w:t>
      </w:r>
    </w:p>
    <w:p>
      <w:pPr>
        <w:pStyle w:val="BodyText"/>
        <w:numPr>
          <w:ilvl w:val="2"/>
          <w:numId w:val="1"/>
        </w:numPr>
        <w:jc w:val="both"/>
        <w:rPr/>
      </w:pPr>
      <w:r>
        <w:rPr>
          <w:u w:val="single"/>
        </w:rPr>
        <w:t xml:space="preserve">Binding Effect of This Section; Termination of Binding Effect </w:t>
      </w:r>
      <w:r>
        <w:rPr/>
        <w:t xml:space="preserve">- A Member's Duty of Confidentiality shall bind each Member while the Member is a Member and permanently thereafter except with respect to confidential information that becomes publicly known through no fault of the Member.  </w:t>
      </w:r>
    </w:p>
    <w:p>
      <w:pPr>
        <w:pStyle w:val="BodyText"/>
        <w:numPr>
          <w:ilvl w:val="0"/>
          <w:numId w:val="1"/>
        </w:numPr>
        <w:rPr>
          <w:b/>
          <w:bCs/>
        </w:rPr>
      </w:pPr>
      <w:r>
        <w:rPr>
          <w:b/>
          <w:bCs/>
        </w:rPr>
        <w:t>Miscellaneous Provisions</w:t>
      </w:r>
    </w:p>
    <w:p>
      <w:pPr>
        <w:pStyle w:val="BodyText"/>
        <w:numPr>
          <w:ilvl w:val="1"/>
          <w:numId w:val="1"/>
        </w:numPr>
        <w:rPr/>
      </w:pPr>
      <w:r>
        <w:rPr>
          <w:u w:val="single"/>
        </w:rPr>
        <w:t>Amendment</w:t>
      </w:r>
      <w:r>
        <w:rPr/>
        <w:t>. The members may amend or repeal all or part of this agreement by written agreement. This agreement may not be amended or repealed by oral agreement.</w:t>
      </w:r>
    </w:p>
    <w:p>
      <w:pPr>
        <w:pStyle w:val="BodyText"/>
        <w:numPr>
          <w:ilvl w:val="1"/>
          <w:numId w:val="1"/>
        </w:numPr>
        <w:rPr/>
      </w:pPr>
      <w:r>
        <w:rPr>
          <w:u w:val="single"/>
        </w:rPr>
        <w:t>Binding Effect</w:t>
      </w:r>
      <w:r>
        <w:rPr/>
        <w:t>. The provisions of this agreement are binding on and will inure to the benefit of the heirs, personal representatives, successors, and assigns of the members. This section is, however, not a modification of any restriction on a transferor's rights under this agreement.</w:t>
      </w:r>
    </w:p>
    <w:p>
      <w:pPr>
        <w:pStyle w:val="BodyText"/>
        <w:numPr>
          <w:ilvl w:val="1"/>
          <w:numId w:val="1"/>
        </w:numPr>
        <w:rPr/>
      </w:pPr>
      <w:r>
        <w:rPr>
          <w:u w:val="single"/>
        </w:rPr>
        <w:t>Governing Law</w:t>
      </w:r>
      <w:r>
        <w:rPr/>
        <w:t>. This agreement is governed by the law of the State of Florida and must be construed in accordance with that law.</w:t>
      </w:r>
    </w:p>
    <w:p>
      <w:pPr>
        <w:pStyle w:val="BodyText"/>
        <w:numPr>
          <w:ilvl w:val="1"/>
          <w:numId w:val="1"/>
        </w:numPr>
        <w:rPr/>
      </w:pPr>
      <w:r>
        <w:rPr>
          <w:u w:val="single"/>
        </w:rPr>
        <w:t>Third Party Beneficiaries</w:t>
      </w:r>
      <w:r>
        <w:rPr/>
        <w:t>. The provisions of this agreement are intended solely for the benefit of the members and create no rights or obligations enforceable by any third party, including any creditor of the company, except as otherwise provided by applicable law.</w:t>
      </w:r>
    </w:p>
    <w:p>
      <w:pPr>
        <w:pStyle w:val="Normal"/>
        <w:rPr/>
      </w:pPr>
      <w:r>
        <w:rPr/>
      </w:r>
    </w:p>
    <w:p>
      <w:pPr>
        <w:pStyle w:val="Normal"/>
        <w:jc w:val="center"/>
        <w:rPr>
          <w:i/>
          <w:i/>
          <w:iCs/>
        </w:rPr>
      </w:pPr>
      <w:r>
        <w:rPr>
          <w:i/>
          <w:iCs/>
        </w:rPr>
        <w:t>SIGNATURES ON NEXT PAGE</w:t>
      </w:r>
    </w:p>
    <w:p>
      <w:pPr>
        <w:pStyle w:val="Normal"/>
        <w:rPr/>
      </w:pPr>
      <w:r>
        <w:rPr/>
      </w:r>
      <w:r>
        <w:br w:type="page"/>
      </w:r>
    </w:p>
    <w:p>
      <w:pPr>
        <w:pStyle w:val="Normal"/>
        <w:spacing w:before="0" w:after="0"/>
        <w:rPr/>
      </w:pPr>
      <w:r>
        <w:rPr/>
      </w:r>
    </w:p>
    <w:p>
      <w:pPr>
        <w:pStyle w:val="Normal"/>
        <w:rPr/>
      </w:pPr>
      <w:r>
        <w:rPr/>
        <w:t>IN WITNESS WHEREOF,  the parties hereto agree to the above terms and have executed this Operating Agreement.</w:t>
      </w:r>
    </w:p>
    <w:p>
      <w:pPr>
        <w:pStyle w:val="Normal"/>
        <w:rPr/>
      </w:pPr>
      <w:r>
        <w:rPr/>
      </w:r>
    </w:p>
    <w:p>
      <w:pPr>
        <w:pStyle w:val="Normal"/>
        <w:rPr/>
      </w:pPr>
      <w:r>
        <w:rPr/>
        <w:t>______________________________________</w:t>
        <w:tab/>
        <w:tab/>
        <w:t>Date: ________________</w:t>
      </w:r>
    </w:p>
    <w:p>
      <w:pPr>
        <w:pStyle w:val="Normal"/>
        <w:rPr/>
      </w:pPr>
      <w:r>
        <w:rPr/>
        <w:t>Signature of Member</w:t>
      </w:r>
    </w:p>
    <w:p>
      <w:pPr>
        <w:pStyle w:val="Normal"/>
        <w:rPr/>
      </w:pPr>
      <w:r>
        <w:rPr/>
        <w:t>_____________________________________</w:t>
      </w:r>
    </w:p>
    <w:p>
      <w:pPr>
        <w:pStyle w:val="Normal"/>
        <w:rPr/>
      </w:pPr>
      <w:r>
        <w:rPr/>
        <w:t>legibly print name</w:t>
      </w:r>
    </w:p>
    <w:p>
      <w:pPr>
        <w:pStyle w:val="Normal"/>
        <w:rPr/>
      </w:pPr>
      <w:r>
        <w:rPr/>
      </w:r>
    </w:p>
    <w:p>
      <w:pPr>
        <w:pStyle w:val="Normal"/>
        <w:rPr/>
      </w:pPr>
      <w:r>
        <w:rPr/>
      </w:r>
    </w:p>
    <w:p>
      <w:pPr>
        <w:pStyle w:val="Normal"/>
        <w:rPr/>
      </w:pPr>
      <w:r>
        <w:rPr/>
        <w:t>______________________________________</w:t>
        <w:tab/>
        <w:tab/>
        <w:t>Date: _______________</w:t>
      </w:r>
    </w:p>
    <w:p>
      <w:pPr>
        <w:pStyle w:val="Normal"/>
        <w:rPr/>
      </w:pPr>
      <w:r>
        <w:rPr/>
        <w:t>Signature of Member</w:t>
      </w:r>
    </w:p>
    <w:p>
      <w:pPr>
        <w:pStyle w:val="Normal"/>
        <w:rPr/>
      </w:pPr>
      <w:r>
        <w:rPr/>
        <w:t>_____________________________________</w:t>
      </w:r>
    </w:p>
    <w:p>
      <w:pPr>
        <w:pStyle w:val="Normal"/>
        <w:rPr/>
      </w:pPr>
      <w:r>
        <w:rPr/>
        <w:t>legibly print name</w:t>
      </w:r>
    </w:p>
    <w:sectPr>
      <w:footerReference w:type="default" r:id="rId2"/>
      <w:type w:val="nextPage"/>
      <w:pgSz w:w="12240" w:h="15840"/>
      <w:pgMar w:left="1440" w:right="1440" w:gutter="0" w:header="0" w:top="1440" w:footer="657" w:bottom="125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 w:name="Star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fldChar w:fldCharType="begin"/>
    </w:r>
    <w:r>
      <w:rPr/>
      <w:instrText xml:space="preserve"> PAGE </w:instrText>
    </w:r>
    <w:r>
      <w:rPr/>
      <w:fldChar w:fldCharType="separate"/>
    </w:r>
    <w:r>
      <w:rPr/>
      <w:t>12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
      <w:lvlJc w:val="left"/>
      <w:pPr>
        <w:tabs>
          <w:tab w:val="num" w:pos="0"/>
        </w:tabs>
        <w:ind w:left="1008" w:hanging="576"/>
      </w:pPr>
      <w:rPr/>
    </w:lvl>
    <w:lvl w:ilvl="2">
      <w:start w:val="1"/>
      <w:numFmt w:val="lowerLetter"/>
      <w:lvlText w:val="%3"/>
      <w:lvlJc w:val="left"/>
      <w:pPr>
        <w:tabs>
          <w:tab w:val="num" w:pos="1440"/>
        </w:tabs>
        <w:ind w:left="1440" w:hanging="360"/>
      </w:pPr>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tarSymbol" w:hAnsi="StarSymbol" w:cs="StarSymbol"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tarSymbol" w:hAnsi="StarSymbol" w:cs="StarSymbol"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false"/>
      <w:bidi w:val="0"/>
      <w:spacing w:before="0" w:after="0"/>
      <w:jc w:val="both"/>
    </w:pPr>
    <w:rPr>
      <w:rFonts w:ascii="Liberation Sans" w:hAnsi="Liberation Sans" w:eastAsia="DejaVu Sans" w:cs="FreeSans"/>
      <w:color w:val="auto"/>
      <w:kern w:val="0"/>
      <w:sz w:val="24"/>
      <w:szCs w:val="24"/>
      <w:lang w:val="en-US" w:eastAsia="zh-CN" w:bidi="hi-IN"/>
    </w:rPr>
  </w:style>
  <w:style w:type="paragraph" w:styleId="Heading1">
    <w:name w:val="Heading 1"/>
    <w:basedOn w:val="Normal"/>
    <w:next w:val="BodyText"/>
    <w:qFormat/>
    <w:pPr>
      <w:keepNext w:val="true"/>
      <w:keepLines/>
      <w:widowControl/>
      <w:outlineLvl w:val="0"/>
    </w:pPr>
    <w:rPr>
      <w:rFonts w:ascii="Arial Narrow" w:hAnsi="Arial Narrow" w:cs="Arial Narrow"/>
      <w:b/>
      <w:bCs/>
    </w:rPr>
  </w:style>
  <w:style w:type="paragraph" w:styleId="Heading2">
    <w:name w:val="Heading 2"/>
    <w:basedOn w:val="Normal"/>
    <w:next w:val="BodyText"/>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spacing w:before="240" w:after="60"/>
      <w:outlineLvl w:val="2"/>
    </w:pPr>
    <w:rPr>
      <w:rFonts w:ascii="Arial" w:hAnsi="Arial" w:cs="Arial"/>
      <w:b/>
      <w:bCs/>
      <w:sz w:val="26"/>
      <w:szCs w:val="26"/>
    </w:rPr>
  </w:style>
  <w:style w:type="paragraph" w:styleId="Heading6">
    <w:name w:val="Heading 6"/>
    <w:basedOn w:val="Normal"/>
    <w:next w:val="BodyText"/>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right="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hanging="0" w:left="720" w:right="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left="360" w:right="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0"/>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hanging="720" w:left="720" w:right="0"/>
      <w:jc w:val="left"/>
    </w:pPr>
    <w:rPr>
      <w:rFonts w:ascii="Times New Roman" w:hAnsi="Times New Roman" w:eastAsia="DejaVu Sans" w:cs="FreeSans"/>
      <w:color w:val="auto"/>
      <w:kern w:val="0"/>
      <w:sz w:val="24"/>
      <w:szCs w:val="24"/>
      <w:lang w:val="en-US" w:eastAsia="zh-CN" w:bidi="hi-IN"/>
    </w:rPr>
  </w:style>
  <w:style w:type="paragraph" w:styleId="AIABodyTextHanging">
    <w:name w:val="AIA Body Text Hanging"/>
    <w:basedOn w:val="AIAAgreementBodyText"/>
    <w:qFormat/>
    <w:pPr>
      <w:spacing w:before="0" w:after="0"/>
      <w:ind w:hanging="468" w:left="1188" w:right="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0"/>
      <w:sz w:val="28"/>
      <w:szCs w:val="28"/>
      <w:lang w:val="en-US" w:eastAsia="zh-CN" w:bidi="hi-IN"/>
    </w:rPr>
  </w:style>
  <w:style w:type="paragraph" w:styleId="AIABodyTextIndented">
    <w:name w:val="AIA Body Text Indented"/>
    <w:basedOn w:val="AIAAgreementBodyText"/>
    <w:qFormat/>
    <w:pPr>
      <w:spacing w:before="0" w:after="0"/>
      <w:ind w:hanging="0" w:left="720" w:right="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0"/>
      <w:sz w:val="24"/>
      <w:szCs w:val="24"/>
      <w:lang w:val="en-US" w:eastAsia="zh-CN" w:bidi="hi-IN"/>
    </w:rPr>
  </w:style>
  <w:style w:type="paragraph" w:styleId="AIAItalicsHanging">
    <w:name w:val="AIA Italics Hanging"/>
    <w:basedOn w:val="AIAItalics"/>
    <w:qFormat/>
    <w:pPr>
      <w:spacing w:before="0" w:after="0"/>
      <w:ind w:hanging="0" w:left="1191" w:right="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0"/>
      <w:sz w:val="20"/>
      <w:szCs w:val="20"/>
      <w:lang w:val="en-US" w:eastAsia="zh-CN" w:bidi="hi-IN"/>
    </w:rPr>
  </w:style>
  <w:style w:type="paragraph" w:styleId="AIASignatureBlock">
    <w:name w:val="AIA Signature Block"/>
    <w:basedOn w:val="AIAAgreementBodyText"/>
    <w:qFormat/>
    <w:pPr/>
    <w:rPr/>
  </w:style>
  <w:style w:type="paragraph" w:styleId="BlockQuotation">
    <w:name w:val="Block Quotation"/>
    <w:basedOn w:val="Normal"/>
    <w:qFormat/>
    <w:pPr>
      <w:spacing w:before="0" w:after="283"/>
      <w:ind w:hanging="0" w:left="567" w:right="567"/>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john4</Template>
  <TotalTime>78</TotalTime>
  <Application>LibreOffice/7.6.3.2$Linux_X86_64 LibreOffice_project/60$Build-2</Application>
  <AppVersion>15.0000</AppVersion>
  <Pages>12</Pages>
  <Words>4845</Words>
  <Characters>24440</Characters>
  <CharactersWithSpaces>29156</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2017-04-09T09:19:58Z</dcterms:created>
  <dc:creator>John Little</dc:creator>
  <dc:description/>
  <dc:language>en-US</dc:language>
  <cp:lastModifiedBy/>
  <dcterms:modified xsi:type="dcterms:W3CDTF">2023-12-27T08:32:32Z</dcterms:modified>
  <cp:revision>15</cp:revision>
  <dc:subject/>
  <dc:title>john4</dc:title>
</cp:coreProperties>
</file>

<file path=docProps/custom.xml><?xml version="1.0" encoding="utf-8"?>
<Properties xmlns="http://schemas.openxmlformats.org/officeDocument/2006/custom-properties" xmlns:vt="http://schemas.openxmlformats.org/officeDocument/2006/docPropsVTypes"/>
</file>